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 w:line="276" w:lineRule="auto"/>
        <w:jc w:val="center"/>
        <w:bidi w:val="1"/>
      </w:pPr>
      <w:r>
        <w:rPr>
          <w:rFonts w:ascii="Calibri" w:hAnsi="Calibri"/>
          <w:b/>
          <w:i w:val="0"/>
          <w:color w:val="059669"/>
          <w:sz w:val="44"/>
          <w:rtl/>
        </w:rPr>
        <w:t>⚡ مشروع ENERGIX لإدارة طاقة المستودعات الذكية</w:t>
      </w:r>
    </w:p>
    <w:p>
      <w:pPr>
        <w:spacing w:after="280" w:before="0" w:line="276" w:lineRule="auto"/>
        <w:jc w:val="center"/>
        <w:bidi w:val="1"/>
      </w:pPr>
      <w:r>
        <w:rPr>
          <w:rFonts w:ascii="Calibri" w:hAnsi="Calibri"/>
          <w:b/>
          <w:i w:val="0"/>
          <w:color w:val="475569"/>
          <w:sz w:val="28"/>
          <w:rtl/>
        </w:rPr>
        <w:t>دراسة الجدوى الاقتصادية والمالية الشاملة (Financial Feasibility Study)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64748B"/>
                <w:sz w:val="19"/>
                <w:rtl/>
              </w:rPr>
              <w:t>فترة الاسترداد (Payback)</w:t>
              <w:br/>
            </w:r>
            <w:r>
              <w:rPr>
                <w:rFonts w:ascii="Calibri" w:hAnsi="Calibri"/>
                <w:b/>
                <w:i w:val="0"/>
                <w:color w:val="0F172A"/>
                <w:sz w:val="24"/>
                <w:rtl/>
              </w:rPr>
              <w:t>2.57 شهر فقط ⚡</w:t>
            </w:r>
          </w:p>
        </w:tc>
        <w:tc>
          <w:tcPr>
            <w:tcW w:type="dxa" w:w="3312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64748B"/>
                <w:sz w:val="19"/>
                <w:rtl/>
              </w:rPr>
              <w:t>العائد الاستثماري (5Y ROI)</w:t>
              <w:br/>
            </w:r>
            <w:r>
              <w:rPr>
                <w:rFonts w:ascii="Calibri" w:hAnsi="Calibri"/>
                <w:b/>
                <w:i w:val="0"/>
                <w:color w:val="0F172A"/>
                <w:sz w:val="24"/>
                <w:rtl/>
              </w:rPr>
              <w:t>2,238% 📈</w:t>
            </w:r>
          </w:p>
        </w:tc>
        <w:tc>
          <w:tcPr>
            <w:tcW w:type="dxa" w:w="3312"/>
            <w:shd w:fill="F1F5F9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64748B"/>
                <w:sz w:val="19"/>
                <w:rtl/>
              </w:rPr>
              <w:t>التعريفة المعتمدة (EgyptERA)</w:t>
              <w:br/>
            </w:r>
            <w:r>
              <w:rPr>
                <w:rFonts w:ascii="Calibri" w:hAnsi="Calibri"/>
                <w:b/>
                <w:i w:val="0"/>
                <w:color w:val="0F172A"/>
                <w:sz w:val="24"/>
                <w:rtl/>
              </w:rPr>
              <w:t>3.20 ج.م / ك.و.س 🔌</w:t>
            </w:r>
          </w:p>
        </w:tc>
      </w:tr>
    </w:tbl>
    <w:p>
      <w:pPr>
        <w:spacing w:after="200" w:before="200" w:line="276" w:lineRule="auto"/>
        <w:jc w:val="right"/>
        <w:bidi w:val="1"/>
      </w:pPr>
      <w:r>
        <w:rPr>
          <w:rFonts w:ascii="Calibri" w:hAnsi="Calibri"/>
          <w:b w:val="0"/>
          <w:i w:val="0"/>
          <w:color w:val="CBD5E1"/>
          <w:sz w:val="22"/>
          <w:rtl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after="120" w:before="280" w:line="276" w:lineRule="auto"/>
        <w:jc w:val="right"/>
        <w:bidi w:val="1"/>
      </w:pPr>
      <w:r>
        <w:rPr>
          <w:rFonts w:ascii="Calibri" w:hAnsi="Calibri"/>
          <w:b/>
          <w:i w:val="0"/>
          <w:color w:val="107855"/>
          <w:sz w:val="32"/>
          <w:rtl/>
        </w:rPr>
        <w:t>1. الملخص التنفيذي للمشروع (Executive Summary)</w:t>
      </w:r>
    </w:p>
    <w:p>
      <w:pPr>
        <w:spacing w:after="160" w:before="0" w:line="276" w:lineRule="auto"/>
        <w:jc w:val="right"/>
        <w:bidi w:val="1"/>
      </w:pPr>
      <w:r>
        <w:rPr>
          <w:rFonts w:ascii="Calibri" w:hAnsi="Calibri"/>
          <w:b w:val="0"/>
          <w:i w:val="0"/>
          <w:color w:val="1E293B"/>
          <w:sz w:val="22"/>
          <w:rtl/>
        </w:rPr>
        <w:t xml:space="preserve">تستعرض هذه الوثيقة دراسة الجدوى الاقتصادية والمالية الشاملة لتطبيق منظومة </w:t>
      </w:r>
      <w:r>
        <w:rPr>
          <w:rFonts w:ascii="Calibri" w:hAnsi="Calibri"/>
          <w:b/>
          <w:i w:val="0"/>
          <w:color w:val="059669"/>
          <w:sz w:val="22"/>
          <w:rtl/>
        </w:rPr>
        <w:t>Energix</w:t>
      </w:r>
      <w:r>
        <w:rPr>
          <w:rFonts w:ascii="Calibri" w:hAnsi="Calibri"/>
          <w:b w:val="0"/>
          <w:i w:val="0"/>
          <w:color w:val="1E293B"/>
          <w:sz w:val="22"/>
          <w:rtl/>
        </w:rPr>
        <w:t xml:space="preserve"> لإدارة وترشيد طاقة الإضاءة في المستودعات وسلاسل الإمداد والتوزيع، بالاعتماد على خوارزمية وضع الاستعداد الاقتصادي </w:t>
      </w:r>
      <w:r>
        <w:rPr>
          <w:rFonts w:ascii="Calibri" w:hAnsi="Calibri"/>
          <w:b/>
          <w:i w:val="0"/>
          <w:color w:val="1E293B"/>
          <w:sz w:val="22"/>
          <w:rtl/>
        </w:rPr>
        <w:t>(20% Standby Dimming Mode)</w:t>
      </w:r>
      <w:r>
        <w:rPr>
          <w:rFonts w:ascii="Calibri" w:hAnsi="Calibri"/>
          <w:b w:val="0"/>
          <w:i w:val="0"/>
          <w:color w:val="1E293B"/>
          <w:sz w:val="22"/>
          <w:rtl/>
        </w:rPr>
        <w:t>، واستشعار الحركة التكيفي المزدوج، والتحكم اللحظي المدعوم بالذكاء الاصطناعي (Groq LPU 120B).</w:t>
        <w:br/>
      </w:r>
      <w:r>
        <w:rPr>
          <w:rFonts w:ascii="Calibri" w:hAnsi="Calibri"/>
          <w:b w:val="0"/>
          <w:i w:val="0"/>
          <w:color w:val="1E293B"/>
          <w:sz w:val="22"/>
          <w:rtl/>
        </w:rPr>
        <w:t xml:space="preserve">تم بناء كافة الحسابات وفقاً لمحددات السوق المصري الفعلية وتطبيقاً للتعريفة الرسمية الصادرة عن جهاز تنظيم مرفق الكهرباء وحماية المستهلك (EgyptERA) للشريحة الصناعية/التجارية جهد متوسط بقيمة </w:t>
      </w:r>
      <w:r>
        <w:rPr>
          <w:rFonts w:ascii="Calibri" w:hAnsi="Calibri"/>
          <w:b/>
          <w:i w:val="0"/>
          <w:color w:val="DC2626"/>
          <w:sz w:val="22"/>
          <w:rtl/>
        </w:rPr>
        <w:t>3.20 جنيه مصري / kWh</w:t>
      </w:r>
      <w:r>
        <w:rPr>
          <w:rFonts w:ascii="Calibri" w:hAnsi="Calibri"/>
          <w:b w:val="0"/>
          <w:i w:val="0"/>
          <w:color w:val="1E293B"/>
          <w:sz w:val="22"/>
          <w:rtl/>
        </w:rPr>
        <w:t xml:space="preserve">، وأثبتت الدراسة أن المشروع يسترد كامل نفقاته الاستثمارية في </w:t>
      </w:r>
      <w:r>
        <w:rPr>
          <w:rFonts w:ascii="Calibri" w:hAnsi="Calibri"/>
          <w:b/>
          <w:i w:val="0"/>
          <w:color w:val="059669"/>
          <w:sz w:val="22"/>
          <w:rtl/>
        </w:rPr>
        <w:t>أقل من شهرين ونصف (2.57 شهر)</w:t>
      </w:r>
      <w:r>
        <w:rPr>
          <w:rFonts w:ascii="Calibri" w:hAnsi="Calibri"/>
          <w:b w:val="0"/>
          <w:i w:val="0"/>
          <w:color w:val="1E293B"/>
          <w:sz w:val="22"/>
          <w:rtl/>
        </w:rPr>
        <w:t xml:space="preserve"> مع تحقيق صافي وفر مالي تراكمي يتجاوز 1.3 مليون جنيه مصري خلال 5 سنوات.</w:t>
      </w:r>
    </w:p>
    <w:p>
      <w:pPr>
        <w:spacing w:after="120" w:before="280" w:line="276" w:lineRule="auto"/>
        <w:jc w:val="right"/>
        <w:bidi w:val="1"/>
      </w:pPr>
      <w:r>
        <w:rPr>
          <w:rFonts w:ascii="Calibri" w:hAnsi="Calibri"/>
          <w:b/>
          <w:i w:val="0"/>
          <w:color w:val="107855"/>
          <w:sz w:val="32"/>
          <w:rtl/>
        </w:rPr>
        <w:t>2. محددات النموذج الهندسي ومواصفات المنشأة (Technical Baseline)</w:t>
      </w:r>
    </w:p>
    <w:p>
      <w:pPr>
        <w:spacing w:after="60" w:before="0" w:line="276" w:lineRule="auto"/>
        <w:jc w:val="right"/>
        <w:bidi w:val="1"/>
      </w:pPr>
      <w:r>
        <w:rPr>
          <w:rFonts w:ascii="Calibri" w:hAnsi="Calibri"/>
          <w:b/>
          <w:i w:val="0"/>
          <w:color w:val="0F172A"/>
          <w:sz w:val="22"/>
          <w:rtl/>
        </w:rPr>
        <w:t xml:space="preserve">• طبيعة المنشأة والموقع: </w:t>
      </w:r>
      <w:r>
        <w:rPr>
          <w:rFonts w:ascii="Calibri" w:hAnsi="Calibri"/>
          <w:b w:val="0"/>
          <w:i w:val="0"/>
          <w:color w:val="334155"/>
          <w:sz w:val="22"/>
          <w:rtl/>
        </w:rPr>
        <w:t>مستودع لوجستي وتوزيع بضائع نموذجي (العاشر من رمضان / السادس من أكتوبر).</w:t>
      </w:r>
    </w:p>
    <w:p>
      <w:pPr>
        <w:spacing w:after="60" w:before="0" w:line="276" w:lineRule="auto"/>
        <w:jc w:val="right"/>
        <w:bidi w:val="1"/>
      </w:pPr>
      <w:r>
        <w:rPr>
          <w:rFonts w:ascii="Calibri" w:hAnsi="Calibri"/>
          <w:b/>
          <w:i w:val="0"/>
          <w:color w:val="0F172A"/>
          <w:sz w:val="22"/>
          <w:rtl/>
        </w:rPr>
        <w:t xml:space="preserve">• المساحة الإجمالية والتخطيط: </w:t>
      </w:r>
      <w:r>
        <w:rPr>
          <w:rFonts w:ascii="Calibri" w:hAnsi="Calibri"/>
          <w:b w:val="0"/>
          <w:i w:val="0"/>
          <w:color w:val="334155"/>
          <w:sz w:val="22"/>
          <w:rtl/>
        </w:rPr>
        <w:t>10,000 متر مربع مقسمة إلى 12 ممراً رئيسياً (Aisles).</w:t>
      </w:r>
    </w:p>
    <w:p>
      <w:pPr>
        <w:spacing w:after="60" w:before="0" w:line="276" w:lineRule="auto"/>
        <w:jc w:val="right"/>
        <w:bidi w:val="1"/>
      </w:pPr>
      <w:r>
        <w:rPr>
          <w:rFonts w:ascii="Calibri" w:hAnsi="Calibri"/>
          <w:b/>
          <w:i w:val="0"/>
          <w:color w:val="0F172A"/>
          <w:sz w:val="22"/>
          <w:rtl/>
        </w:rPr>
        <w:t xml:space="preserve">• نظام الإضاءة القائم: </w:t>
      </w:r>
      <w:r>
        <w:rPr>
          <w:rFonts w:ascii="Calibri" w:hAnsi="Calibri"/>
          <w:b w:val="0"/>
          <w:i w:val="0"/>
          <w:color w:val="334155"/>
          <w:sz w:val="22"/>
          <w:rtl/>
        </w:rPr>
        <w:t>كشافات سقفية صناعية LED High-Bay بقدرة 150W للكشاف (10 كشافات بكل ممر = 120 كشافاً).</w:t>
      </w:r>
    </w:p>
    <w:p>
      <w:pPr>
        <w:spacing w:after="60" w:before="0" w:line="276" w:lineRule="auto"/>
        <w:jc w:val="right"/>
        <w:bidi w:val="1"/>
      </w:pPr>
      <w:r>
        <w:rPr>
          <w:rFonts w:ascii="Calibri" w:hAnsi="Calibri"/>
          <w:b/>
          <w:i w:val="0"/>
          <w:color w:val="0F172A"/>
          <w:sz w:val="22"/>
          <w:rtl/>
        </w:rPr>
        <w:t xml:space="preserve">• إجمالي الحمل الكهربائي المتصل: </w:t>
      </w:r>
      <w:r>
        <w:rPr>
          <w:rFonts w:ascii="Calibri" w:hAnsi="Calibri"/>
          <w:b w:val="0"/>
          <w:i w:val="0"/>
          <w:color w:val="334155"/>
          <w:sz w:val="22"/>
          <w:rtl/>
        </w:rPr>
        <w:t>120 كشاف × 150 واط = 18.0 كيلوواط (kW).</w:t>
      </w:r>
    </w:p>
    <w:p>
      <w:pPr>
        <w:spacing w:after="60" w:before="0" w:line="276" w:lineRule="auto"/>
        <w:jc w:val="right"/>
        <w:bidi w:val="1"/>
      </w:pPr>
      <w:r>
        <w:rPr>
          <w:rFonts w:ascii="Calibri" w:hAnsi="Calibri"/>
          <w:b/>
          <w:i w:val="0"/>
          <w:color w:val="0F172A"/>
          <w:sz w:val="22"/>
          <w:rtl/>
        </w:rPr>
        <w:t xml:space="preserve">• ساعات التشغيل السنوية: </w:t>
      </w:r>
      <w:r>
        <w:rPr>
          <w:rFonts w:ascii="Calibri" w:hAnsi="Calibri"/>
          <w:b w:val="0"/>
          <w:i w:val="0"/>
          <w:color w:val="334155"/>
          <w:sz w:val="22"/>
          <w:rtl/>
        </w:rPr>
        <w:t>تشغيل مستمر 24/7 (3 ورديات عمل) = 8,760 ساعة سنوياً.</w:t>
      </w:r>
    </w:p>
    <w:p>
      <w:pPr>
        <w:spacing w:after="60" w:before="0" w:line="276" w:lineRule="auto"/>
        <w:jc w:val="right"/>
        <w:bidi w:val="1"/>
      </w:pPr>
      <w:r>
        <w:rPr>
          <w:rFonts w:ascii="Calibri" w:hAnsi="Calibri"/>
          <w:b/>
          <w:i w:val="0"/>
          <w:color w:val="0F172A"/>
          <w:sz w:val="22"/>
          <w:rtl/>
        </w:rPr>
        <w:t xml:space="preserve">• تعريفة الكهرباء المعتمدة: </w:t>
      </w:r>
      <w:r>
        <w:rPr>
          <w:rFonts w:ascii="Calibri" w:hAnsi="Calibri"/>
          <w:b w:val="0"/>
          <w:i w:val="0"/>
          <w:color w:val="334155"/>
          <w:sz w:val="22"/>
          <w:rtl/>
        </w:rPr>
        <w:t>3.20 جنيه مصري / kWh (وفقاً للقرار الرسمي رقم 120 لسنة 2024 - EgyptERA).</w:t>
      </w:r>
    </w:p>
    <w:p>
      <w:pPr>
        <w:spacing w:after="60" w:before="0" w:line="276" w:lineRule="auto"/>
        <w:jc w:val="right"/>
        <w:bidi w:val="1"/>
      </w:pPr>
      <w:r>
        <w:rPr>
          <w:rFonts w:ascii="Calibri" w:hAnsi="Calibri"/>
          <w:b/>
          <w:i w:val="0"/>
          <w:color w:val="0F172A"/>
          <w:sz w:val="22"/>
          <w:rtl/>
        </w:rPr>
        <w:t xml:space="preserve">• نمط الإشغال والحركة الفعلي: </w:t>
      </w:r>
      <w:r>
        <w:rPr>
          <w:rFonts w:ascii="Calibri" w:hAnsi="Calibri"/>
          <w:b w:val="0"/>
          <w:i w:val="0"/>
          <w:color w:val="334155"/>
          <w:sz w:val="22"/>
          <w:rtl/>
        </w:rPr>
        <w:t>30% فترات نشاط وشحن (100% سطوع) · 70% فترات خلو الممرات (20% وضع الاستعداد).</w:t>
      </w:r>
    </w:p>
    <w:p>
      <w:pPr>
        <w:spacing w:after="120" w:before="280" w:line="276" w:lineRule="auto"/>
        <w:jc w:val="right"/>
        <w:bidi w:val="1"/>
      </w:pPr>
      <w:r>
        <w:rPr>
          <w:rFonts w:ascii="Calibri" w:hAnsi="Calibri"/>
          <w:b/>
          <w:i w:val="0"/>
          <w:color w:val="107855"/>
          <w:sz w:val="32"/>
          <w:rtl/>
        </w:rPr>
        <w:t>3. جدول مقارنة استهلاك وفاتورة الكهرباء السنوية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3600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بيان الحساب</w:t>
            </w:r>
          </w:p>
        </w:tc>
        <w:tc>
          <w:tcPr>
            <w:tcW w:type="dxa" w:w="2592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النظام التقليدي (100% دائم)</w:t>
            </w:r>
          </w:p>
        </w:tc>
        <w:tc>
          <w:tcPr>
            <w:tcW w:type="dxa" w:w="2736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نظام Energix (20% Standby)</w:t>
            </w:r>
          </w:p>
        </w:tc>
        <w:tc>
          <w:tcPr>
            <w:tcW w:type="dxa" w:w="2592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صافي التوفير السنوي</w:t>
            </w:r>
          </w:p>
        </w:tc>
      </w:tr>
      <w:tr>
        <w:tc>
          <w:tcPr>
            <w:tcW w:type="dxa" w:w="360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استهلاك فترات النشاط (100% سطوع)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47,304 kWh</w:t>
            </w:r>
          </w:p>
        </w:tc>
        <w:tc>
          <w:tcPr>
            <w:tcW w:type="dxa" w:w="273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47,304 kWh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0 kWh (30% من الوقت)</w:t>
            </w:r>
          </w:p>
        </w:tc>
      </w:tr>
      <w:tr>
        <w:tc>
          <w:tcPr>
            <w:tcW w:type="dxa" w:w="3600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استهلاك فترات الخلو (وضع الاستعداد)</w:t>
            </w:r>
          </w:p>
        </w:tc>
        <w:tc>
          <w:tcPr>
            <w:tcW w:type="dxa" w:w="2592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110,376 kWh</w:t>
            </w:r>
          </w:p>
        </w:tc>
        <w:tc>
          <w:tcPr>
            <w:tcW w:type="dxa" w:w="2736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22,075 kWh</w:t>
            </w:r>
          </w:p>
        </w:tc>
        <w:tc>
          <w:tcPr>
            <w:tcW w:type="dxa" w:w="2592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88,301 kWh (وفر 80%)</w:t>
            </w:r>
          </w:p>
        </w:tc>
      </w:tr>
      <w:tr>
        <w:tc>
          <w:tcPr>
            <w:tcW w:type="dxa" w:w="360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استهلاك الحساسات والتحكم (Parasitic)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0 kWh</w:t>
            </w:r>
          </w:p>
        </w:tc>
        <w:tc>
          <w:tcPr>
            <w:tcW w:type="dxa" w:w="273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525 kWh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-525 kWh (12 عقدة × 5W)</w:t>
            </w:r>
          </w:p>
        </w:tc>
      </w:tr>
      <w:tr>
        <w:tc>
          <w:tcPr>
            <w:tcW w:type="dxa" w:w="3600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إجمالي الاستهلاك الكهربائي السنوي</w:t>
            </w:r>
          </w:p>
        </w:tc>
        <w:tc>
          <w:tcPr>
            <w:tcW w:type="dxa" w:w="2592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157,680 kWh</w:t>
            </w:r>
          </w:p>
        </w:tc>
        <w:tc>
          <w:tcPr>
            <w:tcW w:type="dxa" w:w="2736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69,904 kWh</w:t>
            </w:r>
          </w:p>
        </w:tc>
        <w:tc>
          <w:tcPr>
            <w:tcW w:type="dxa" w:w="2592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87,776 kWh (وفر 55.7%)</w:t>
            </w:r>
          </w:p>
        </w:tc>
      </w:tr>
      <w:tr>
        <w:tc>
          <w:tcPr>
            <w:tcW w:type="dxa" w:w="360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فاتورة الكهرباء السنوية (@ 3.20 ج.م)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504,576 ج.م</w:t>
            </w:r>
          </w:p>
        </w:tc>
        <w:tc>
          <w:tcPr>
            <w:tcW w:type="dxa" w:w="273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223,693 ج.م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280,883 ج.م سنوياً</w:t>
            </w:r>
          </w:p>
        </w:tc>
      </w:tr>
      <w:tr>
        <w:tc>
          <w:tcPr>
            <w:tcW w:type="dxa" w:w="3600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متوسط الفاتورة الشهرية</w:t>
            </w:r>
          </w:p>
        </w:tc>
        <w:tc>
          <w:tcPr>
            <w:tcW w:type="dxa" w:w="2592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42,048 ج.م</w:t>
            </w:r>
          </w:p>
        </w:tc>
        <w:tc>
          <w:tcPr>
            <w:tcW w:type="dxa" w:w="2736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18,641 ج.م</w:t>
            </w:r>
          </w:p>
        </w:tc>
        <w:tc>
          <w:tcPr>
            <w:tcW w:type="dxa" w:w="2592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23,407 ج.م شهرياً</w:t>
            </w:r>
          </w:p>
        </w:tc>
      </w:tr>
    </w:tbl>
    <w:p>
      <w:pPr>
        <w:spacing w:after="200" w:before="80" w:line="276" w:lineRule="auto"/>
        <w:jc w:val="right"/>
        <w:bidi w:val="1"/>
      </w:pPr>
      <w:r>
        <w:rPr>
          <w:rFonts w:ascii="Calibri" w:hAnsi="Calibri"/>
          <w:b/>
          <w:i w:val="0"/>
          <w:color w:val="059669"/>
          <w:sz w:val="22"/>
          <w:rtl/>
        </w:rPr>
        <w:t xml:space="preserve">💡 ملاحظة هندسية: </w:t>
      </w:r>
      <w:r>
        <w:rPr>
          <w:rFonts w:ascii="Calibri" w:hAnsi="Calibri"/>
          <w:b w:val="0"/>
          <w:i/>
          <w:color w:val="1E293B"/>
          <w:sz w:val="19"/>
          <w:rtl/>
        </w:rPr>
        <w:t>نسبة التوفير (55.7%) محسوبة بمقارنة Energix مع كشافات LED حديثة بقدرة 150W. أما إذا كانت المقارنة مع كشافات الصوديوم أو الميتال هاليد التقليدية (400W)، فإن نسبة التوفير ترتفع لأكثر من 82% بما يعادل وفراً سنوياً يتجاوز 750,000 ج.م.</w:t>
      </w:r>
    </w:p>
    <w:p>
      <w:pPr>
        <w:spacing w:after="120" w:before="280" w:line="276" w:lineRule="auto"/>
        <w:jc w:val="right"/>
        <w:bidi w:val="1"/>
      </w:pPr>
      <w:r>
        <w:rPr>
          <w:rFonts w:ascii="Calibri" w:hAnsi="Calibri"/>
          <w:b/>
          <w:i w:val="0"/>
          <w:color w:val="107855"/>
          <w:sz w:val="32"/>
          <w:rtl/>
        </w:rPr>
        <w:t>4. جدول النفقات الاستثمارية الرأسمالية التأسيسية (CAPEX)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2592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البند والمكون</w:t>
            </w:r>
          </w:p>
        </w:tc>
        <w:tc>
          <w:tcPr>
            <w:tcW w:type="dxa" w:w="4608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المواصفات والتفاصيل الفنية</w:t>
            </w:r>
          </w:p>
        </w:tc>
        <w:tc>
          <w:tcPr>
            <w:tcW w:type="dxa" w:w="1152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الكمية</w:t>
            </w:r>
          </w:p>
        </w:tc>
        <w:tc>
          <w:tcPr>
            <w:tcW w:type="dxa" w:w="1584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سعر الوحدة</w:t>
            </w:r>
          </w:p>
        </w:tc>
        <w:tc>
          <w:tcPr>
            <w:tcW w:type="dxa" w:w="1584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الإجمالي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وحدات تحكم الممرات (Node Kits)</w:t>
            </w:r>
          </w:p>
        </w:tc>
        <w:tc>
          <w:tcPr>
            <w:tcW w:type="dxa" w:w="460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لوحة تحكم صناعية + حساس رادار/PIR مزدوج + دارة تعتيم PWM/0-10V + علبة IP65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12 ممر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2,250 ج.م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27,000 ج.م</w:t>
            </w:r>
          </w:p>
        </w:tc>
      </w:tr>
      <w:tr>
        <w:tc>
          <w:tcPr>
            <w:tcW w:type="dxa" w:w="2592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البوابة الصناعية المركزية (Gateway)</w:t>
            </w:r>
          </w:p>
        </w:tc>
        <w:tc>
          <w:tcPr>
            <w:tcW w:type="dxa" w:w="4608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كمبيوتر حوسبة حافية On-Premise + وحدة UPS 500VA + قواطع DIN-Rail</w:t>
            </w:r>
          </w:p>
        </w:tc>
        <w:tc>
          <w:tcPr>
            <w:tcW w:type="dxa" w:w="1152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1 جهاز</w:t>
            </w:r>
          </w:p>
        </w:tc>
        <w:tc>
          <w:tcPr>
            <w:tcW w:type="dxa" w:w="1584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14,000 ج.م</w:t>
            </w:r>
          </w:p>
        </w:tc>
        <w:tc>
          <w:tcPr>
            <w:tcW w:type="dxa" w:w="1584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14,000 ج.م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أعمال التمديدات والتركيبات الميدانية</w:t>
            </w:r>
          </w:p>
        </w:tc>
        <w:tc>
          <w:tcPr>
            <w:tcW w:type="dxa" w:w="460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كابلات إشارة معزولة Shielded + مواسير حماية + مصنعيات فريق فنيين معتمد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مقطوعية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12,000 ج.م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12,000 ج.م</w:t>
            </w:r>
          </w:p>
        </w:tc>
      </w:tr>
      <w:tr>
        <w:tc>
          <w:tcPr>
            <w:tcW w:type="dxa" w:w="2592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البرمجة والمعايرة وإطلاق المنظومة</w:t>
            </w:r>
          </w:p>
        </w:tc>
        <w:tc>
          <w:tcPr>
            <w:tcW w:type="dxa" w:w="4608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دمج الخوارزميات، ضبط الحساسات، ربط الداشبورد وبوت التليجرام</w:t>
            </w:r>
          </w:p>
        </w:tc>
        <w:tc>
          <w:tcPr>
            <w:tcW w:type="dxa" w:w="1152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مقطوعية</w:t>
            </w:r>
          </w:p>
        </w:tc>
        <w:tc>
          <w:tcPr>
            <w:tcW w:type="dxa" w:w="1584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5,300 ج.م</w:t>
            </w:r>
          </w:p>
        </w:tc>
        <w:tc>
          <w:tcPr>
            <w:tcW w:type="dxa" w:w="1584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5,300 ج.م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إجمالي الاستثمار التأسيسي (Total CAPEX)</w:t>
            </w:r>
          </w:p>
        </w:tc>
        <w:tc>
          <w:tcPr>
            <w:tcW w:type="dxa" w:w="460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تسليم مفتاح للمستودع بالكامل شامل كافة الأجهزة والضمان لعام كامل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12 ممر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―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58,300 ج.م</w:t>
            </w:r>
          </w:p>
        </w:tc>
      </w:tr>
    </w:tbl>
    <w:p>
      <w:pPr>
        <w:spacing w:after="120" w:before="280" w:line="276" w:lineRule="auto"/>
        <w:jc w:val="right"/>
        <w:bidi w:val="1"/>
      </w:pPr>
      <w:r>
        <w:rPr>
          <w:rFonts w:ascii="Calibri" w:hAnsi="Calibri"/>
          <w:b/>
          <w:i w:val="0"/>
          <w:color w:val="107855"/>
          <w:sz w:val="32"/>
          <w:rtl/>
        </w:rPr>
        <w:t>5. جدول تكاليف التشغيل والصيانة السنوية (OPEX)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3600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بند التشغيل والصيانة</w:t>
            </w:r>
          </w:p>
        </w:tc>
        <w:tc>
          <w:tcPr>
            <w:tcW w:type="dxa" w:w="4608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الوصف والدورية</w:t>
            </w:r>
          </w:p>
        </w:tc>
        <w:tc>
          <w:tcPr>
            <w:tcW w:type="dxa" w:w="1584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التكلفة الشهرية</w:t>
            </w:r>
          </w:p>
        </w:tc>
        <w:tc>
          <w:tcPr>
            <w:tcW w:type="dxa" w:w="1728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التكلفة السنوية</w:t>
            </w:r>
          </w:p>
        </w:tc>
      </w:tr>
      <w:tr>
        <w:tc>
          <w:tcPr>
            <w:tcW w:type="dxa" w:w="360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استضافة السيرفر والذكاء الاصطناعي</w:t>
            </w:r>
          </w:p>
        </w:tc>
        <w:tc>
          <w:tcPr>
            <w:tcW w:type="dxa" w:w="460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استضافة البوابة السحابية وواجهات Groq AI وبوت التليجرام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350 ج.م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4,200 ج.م</w:t>
            </w:r>
          </w:p>
        </w:tc>
      </w:tr>
      <w:tr>
        <w:tc>
          <w:tcPr>
            <w:tcW w:type="dxa" w:w="3600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الصيانة الوقائية ومعايرة الحساسات</w:t>
            </w:r>
          </w:p>
        </w:tc>
        <w:tc>
          <w:tcPr>
            <w:tcW w:type="dxa" w:w="4608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زيارتان سنوياً لفحص وتنظيف الحساسات من الأتربة ومعايرة الحساسية</w:t>
            </w:r>
          </w:p>
        </w:tc>
        <w:tc>
          <w:tcPr>
            <w:tcW w:type="dxa" w:w="1584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333 ج.م</w:t>
            </w:r>
          </w:p>
        </w:tc>
        <w:tc>
          <w:tcPr>
            <w:tcW w:type="dxa" w:w="1728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4,000 ج.م</w:t>
            </w:r>
          </w:p>
        </w:tc>
      </w:tr>
      <w:tr>
        <w:tc>
          <w:tcPr>
            <w:tcW w:type="dxa" w:w="360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إجمالي تكاليف التشغيل السنوية (OPEX)</w:t>
            </w:r>
          </w:p>
        </w:tc>
        <w:tc>
          <w:tcPr>
            <w:tcW w:type="dxa" w:w="460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التكلفة السنوية للحفاظ على استمرارية المنظومة بأعلى كفاءة تشغيلية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683 ج.م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8,200 ج.م</w:t>
            </w:r>
          </w:p>
        </w:tc>
      </w:tr>
    </w:tbl>
    <w:p>
      <w:pPr>
        <w:spacing w:after="120" w:before="280" w:line="276" w:lineRule="auto"/>
        <w:jc w:val="right"/>
        <w:bidi w:val="1"/>
      </w:pPr>
      <w:r>
        <w:rPr>
          <w:rFonts w:ascii="Calibri" w:hAnsi="Calibri"/>
          <w:b/>
          <w:i w:val="0"/>
          <w:color w:val="107855"/>
          <w:sz w:val="32"/>
          <w:rtl/>
        </w:rPr>
        <w:t>6. جدول التدفقات النقدية المتوقعة على مدار 5 سنوات (5-Year Cash Flow)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2160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السنة المالية</w:t>
            </w:r>
          </w:p>
        </w:tc>
        <w:tc>
          <w:tcPr>
            <w:tcW w:type="dxa" w:w="2880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التدفق الخارج (CAPEX + OPEX)</w:t>
            </w:r>
          </w:p>
        </w:tc>
        <w:tc>
          <w:tcPr>
            <w:tcW w:type="dxa" w:w="2592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الوفر المحقق في الفاتورة</w:t>
            </w:r>
          </w:p>
        </w:tc>
        <w:tc>
          <w:tcPr>
            <w:tcW w:type="dxa" w:w="2592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صافي التدفق السنوي</w:t>
            </w:r>
          </w:p>
        </w:tc>
        <w:tc>
          <w:tcPr>
            <w:tcW w:type="dxa" w:w="2736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صافي التدفق التراكمي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سنة التأسيس (Y0)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58,300 ج.م (CAPEX)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0 ج.م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-58,300 ج.م</w:t>
            </w:r>
          </w:p>
        </w:tc>
        <w:tc>
          <w:tcPr>
            <w:tcW w:type="dxa" w:w="273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-58,300 ج.م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السنة الأولى (Y1)</w:t>
            </w:r>
          </w:p>
        </w:tc>
        <w:tc>
          <w:tcPr>
            <w:tcW w:type="dxa" w:w="2880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8,200 ج.م (OPEX)</w:t>
            </w:r>
          </w:p>
        </w:tc>
        <w:tc>
          <w:tcPr>
            <w:tcW w:type="dxa" w:w="2592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280,883 ج.م</w:t>
            </w:r>
          </w:p>
        </w:tc>
        <w:tc>
          <w:tcPr>
            <w:tcW w:type="dxa" w:w="2592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+272,683 ج.م</w:t>
            </w:r>
          </w:p>
        </w:tc>
        <w:tc>
          <w:tcPr>
            <w:tcW w:type="dxa" w:w="2736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+214,383 ج.م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السنة الثانية (Y2)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8,200 ج.م (OPEX)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280,883 ج.م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+272,683 ج.م</w:t>
            </w:r>
          </w:p>
        </w:tc>
        <w:tc>
          <w:tcPr>
            <w:tcW w:type="dxa" w:w="273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+487,066 ج.م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السنة الثالثة (Y3)</w:t>
            </w:r>
          </w:p>
        </w:tc>
        <w:tc>
          <w:tcPr>
            <w:tcW w:type="dxa" w:w="2880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8,200 ج.م (OPEX)</w:t>
            </w:r>
          </w:p>
        </w:tc>
        <w:tc>
          <w:tcPr>
            <w:tcW w:type="dxa" w:w="2592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280,883 ج.م</w:t>
            </w:r>
          </w:p>
        </w:tc>
        <w:tc>
          <w:tcPr>
            <w:tcW w:type="dxa" w:w="2592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+272,683 ج.م</w:t>
            </w:r>
          </w:p>
        </w:tc>
        <w:tc>
          <w:tcPr>
            <w:tcW w:type="dxa" w:w="2736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+759,749 ج.م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السنة الرابعة (Y4)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8,200 ج.م (OPEX)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280,883 ج.م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+272,683 ج.م</w:t>
            </w:r>
          </w:p>
        </w:tc>
        <w:tc>
          <w:tcPr>
            <w:tcW w:type="dxa" w:w="273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+1,032,432 ج.م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السنة الخامسة (Y5)</w:t>
            </w:r>
          </w:p>
        </w:tc>
        <w:tc>
          <w:tcPr>
            <w:tcW w:type="dxa" w:w="2880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8,200 ج.م (OPEX)</w:t>
            </w:r>
          </w:p>
        </w:tc>
        <w:tc>
          <w:tcPr>
            <w:tcW w:type="dxa" w:w="2592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280,883 ج.م</w:t>
            </w:r>
          </w:p>
        </w:tc>
        <w:tc>
          <w:tcPr>
            <w:tcW w:type="dxa" w:w="2592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+272,683 ج.م</w:t>
            </w:r>
          </w:p>
        </w:tc>
        <w:tc>
          <w:tcPr>
            <w:tcW w:type="dxa" w:w="2736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+1,305,115 ج.م</w:t>
            </w:r>
          </w:p>
        </w:tc>
      </w:tr>
    </w:tbl>
    <w:p>
      <w:pPr>
        <w:spacing w:after="120" w:before="280" w:line="276" w:lineRule="auto"/>
        <w:jc w:val="right"/>
        <w:bidi w:val="1"/>
      </w:pPr>
      <w:r>
        <w:rPr>
          <w:rFonts w:ascii="Calibri" w:hAnsi="Calibri"/>
          <w:b/>
          <w:i w:val="0"/>
          <w:color w:val="107855"/>
          <w:sz w:val="32"/>
          <w:rtl/>
        </w:rPr>
        <w:t>7. المؤشرات المالية والاستثمارية الرئيسية (Key Financial KPIs)</w:t>
      </w:r>
    </w:p>
    <w:p>
      <w:pPr>
        <w:spacing w:after="40" w:before="80" w:line="276" w:lineRule="auto"/>
        <w:jc w:val="right"/>
        <w:bidi w:val="1"/>
      </w:pPr>
      <w:r>
        <w:rPr>
          <w:rFonts w:ascii="Calibri" w:hAnsi="Calibri"/>
          <w:b/>
          <w:i w:val="0"/>
          <w:color w:val="0F172A"/>
          <w:sz w:val="22"/>
          <w:rtl/>
        </w:rPr>
        <w:t xml:space="preserve">• فترة استرداد رأس المال (Payback Period): </w:t>
      </w:r>
      <w:r>
        <w:rPr>
          <w:rFonts w:ascii="Calibri" w:hAnsi="Calibri"/>
          <w:b/>
          <w:i w:val="0"/>
          <w:color w:val="059669"/>
          <w:sz w:val="23"/>
          <w:rtl/>
        </w:rPr>
        <w:t xml:space="preserve">2.57 شهر (أقل من شهرين ونصف!) </w:t>
      </w:r>
      <w:r>
        <w:rPr>
          <w:rFonts w:ascii="Calibri" w:hAnsi="Calibri"/>
          <w:b w:val="0"/>
          <w:i w:val="0"/>
          <w:color w:val="64748B"/>
          <w:sz w:val="20"/>
          <w:rtl/>
        </w:rPr>
        <w:t>— العميل يسترد كامل استثماره في أقل من 78 يوماً، وتتحول كل الوفرات بعدها لأرباح خالصة.</w:t>
      </w:r>
    </w:p>
    <w:p>
      <w:pPr>
        <w:spacing w:after="40" w:before="80" w:line="276" w:lineRule="auto"/>
        <w:jc w:val="right"/>
        <w:bidi w:val="1"/>
      </w:pPr>
      <w:r>
        <w:rPr>
          <w:rFonts w:ascii="Calibri" w:hAnsi="Calibri"/>
          <w:b/>
          <w:i w:val="0"/>
          <w:color w:val="0F172A"/>
          <w:sz w:val="22"/>
          <w:rtl/>
        </w:rPr>
        <w:t xml:space="preserve">• العائد على الاستثمار لـ 5 سنوات (5Y ROI): </w:t>
      </w:r>
      <w:r>
        <w:rPr>
          <w:rFonts w:ascii="Calibri" w:hAnsi="Calibri"/>
          <w:b/>
          <w:i w:val="0"/>
          <w:color w:val="0284C7"/>
          <w:sz w:val="23"/>
          <w:rtl/>
        </w:rPr>
        <w:t xml:space="preserve">2,238% </w:t>
      </w:r>
      <w:r>
        <w:rPr>
          <w:rFonts w:ascii="Calibri" w:hAnsi="Calibri"/>
          <w:b w:val="0"/>
          <w:i w:val="0"/>
          <w:color w:val="64748B"/>
          <w:sz w:val="20"/>
          <w:rtl/>
        </w:rPr>
        <w:t>— تحقيق أكثر من 22 ضعف التكلفة التأسيسية كأرباح ووفرات صافية على مدار 5 سنوات.</w:t>
      </w:r>
    </w:p>
    <w:p>
      <w:pPr>
        <w:spacing w:after="40" w:before="80" w:line="276" w:lineRule="auto"/>
        <w:jc w:val="right"/>
        <w:bidi w:val="1"/>
      </w:pPr>
      <w:r>
        <w:rPr>
          <w:rFonts w:ascii="Calibri" w:hAnsi="Calibri"/>
          <w:b/>
          <w:i w:val="0"/>
          <w:color w:val="0F172A"/>
          <w:sz w:val="22"/>
          <w:rtl/>
        </w:rPr>
        <w:t xml:space="preserve">• صافي القيمة الحالية (NPV @ 15% Discount): </w:t>
      </w:r>
      <w:r>
        <w:rPr>
          <w:rFonts w:ascii="Calibri" w:hAnsi="Calibri"/>
          <w:b/>
          <w:i w:val="0"/>
          <w:color w:val="7C3AED"/>
          <w:sz w:val="23"/>
          <w:rtl/>
        </w:rPr>
        <w:t xml:space="preserve">+855,773 ج.م </w:t>
      </w:r>
      <w:r>
        <w:rPr>
          <w:rFonts w:ascii="Calibri" w:hAnsi="Calibri"/>
          <w:b w:val="0"/>
          <w:i w:val="0"/>
          <w:color w:val="64748B"/>
          <w:sz w:val="20"/>
          <w:rtl/>
        </w:rPr>
        <w:t>— بمعدل خصم بنكي متحفظ 15%، المشروع يولد قيمة حالية صافية تتجاوز 855 ألف جنيه.</w:t>
      </w:r>
    </w:p>
    <w:p>
      <w:pPr>
        <w:spacing w:after="40" w:before="80" w:line="276" w:lineRule="auto"/>
        <w:jc w:val="right"/>
        <w:bidi w:val="1"/>
      </w:pPr>
      <w:r>
        <w:rPr>
          <w:rFonts w:ascii="Calibri" w:hAnsi="Calibri"/>
          <w:b/>
          <w:i w:val="0"/>
          <w:color w:val="0F172A"/>
          <w:sz w:val="22"/>
          <w:rtl/>
        </w:rPr>
        <w:t xml:space="preserve">• معدل العائد الداخلي (IRR): </w:t>
      </w:r>
      <w:r>
        <w:rPr>
          <w:rFonts w:ascii="Calibri" w:hAnsi="Calibri"/>
          <w:b/>
          <w:i w:val="0"/>
          <w:color w:val="D97706"/>
          <w:sz w:val="23"/>
          <w:rtl/>
        </w:rPr>
        <w:t xml:space="preserve">&gt; 460% </w:t>
      </w:r>
      <w:r>
        <w:rPr>
          <w:rFonts w:ascii="Calibri" w:hAnsi="Calibri"/>
          <w:b w:val="0"/>
          <w:i w:val="0"/>
          <w:color w:val="64748B"/>
          <w:sz w:val="20"/>
          <w:rtl/>
        </w:rPr>
        <w:t>— مؤشر كفاءة مالية فائق يتجاوز بكثير أي عوائد بنكية أو استثمارية تقليدية.</w:t>
      </w:r>
    </w:p>
    <w:p>
      <w:pPr>
        <w:spacing w:after="120" w:before="280" w:line="276" w:lineRule="auto"/>
        <w:jc w:val="right"/>
        <w:bidi w:val="1"/>
      </w:pPr>
      <w:r>
        <w:rPr>
          <w:rFonts w:ascii="Calibri" w:hAnsi="Calibri"/>
          <w:b/>
          <w:i w:val="0"/>
          <w:color w:val="107855"/>
          <w:sz w:val="32"/>
          <w:rtl/>
        </w:rPr>
        <w:t>8. تحليل حساسية المخاطر وتقلبات السوق (Sensitivity Analysis)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2592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السيناريو الاقتصادي</w:t>
            </w:r>
          </w:p>
        </w:tc>
        <w:tc>
          <w:tcPr>
            <w:tcW w:type="dxa" w:w="3168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التغير في المؤثر الميداني</w:t>
            </w:r>
          </w:p>
        </w:tc>
        <w:tc>
          <w:tcPr>
            <w:tcW w:type="dxa" w:w="2160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صافي الوفر السنوي</w:t>
            </w:r>
          </w:p>
        </w:tc>
        <w:tc>
          <w:tcPr>
            <w:tcW w:type="dxa" w:w="1872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فترة الاسترداد</w:t>
            </w:r>
          </w:p>
        </w:tc>
        <w:tc>
          <w:tcPr>
            <w:tcW w:type="dxa" w:w="1728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تقييم الجدوى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السيناريو المتفائل (زيادة أسعار الكهرباء)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ارتفاع التعريفة إلى 3.84 ج.م (+20%)</w:t>
            </w:r>
          </w:p>
        </w:tc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328,000 ج.م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2.1 شهر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ممتازة جداً</w:t>
            </w:r>
          </w:p>
        </w:tc>
      </w:tr>
      <w:tr>
        <w:tc>
          <w:tcPr>
            <w:tcW w:type="dxa" w:w="2592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السيناريو الأساسي (الواقعي المعتمد)</w:t>
            </w:r>
          </w:p>
        </w:tc>
        <w:tc>
          <w:tcPr>
            <w:tcW w:type="dxa" w:w="3168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تعريفة 3.20 ج.م ونسبة إشغال 30%</w:t>
            </w:r>
          </w:p>
        </w:tc>
        <w:tc>
          <w:tcPr>
            <w:tcW w:type="dxa" w:w="2160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272,683 ج.م</w:t>
            </w:r>
          </w:p>
        </w:tc>
        <w:tc>
          <w:tcPr>
            <w:tcW w:type="dxa" w:w="1872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2.57 شهر</w:t>
            </w:r>
          </w:p>
        </w:tc>
        <w:tc>
          <w:tcPr>
            <w:tcW w:type="dxa" w:w="1728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الجدوى القياسية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السيناريو المتحفظ (زيادة كثافة العمل)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ارتفاع الإشغال لـ 50% (خلو 50% فقط)</w:t>
            </w:r>
          </w:p>
        </w:tc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191,000 ج.م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3.6 شهر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جدوى عالية جداً</w:t>
            </w:r>
          </w:p>
        </w:tc>
      </w:tr>
      <w:tr>
        <w:tc>
          <w:tcPr>
            <w:tcW w:type="dxa" w:w="2592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السيناريو التشاؤمي الشديد</w:t>
            </w:r>
          </w:p>
        </w:tc>
        <w:tc>
          <w:tcPr>
            <w:tcW w:type="dxa" w:w="3168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إشغال 60% وزيادة تكلفة الصيانة 50%</w:t>
            </w:r>
          </w:p>
        </w:tc>
        <w:tc>
          <w:tcPr>
            <w:tcW w:type="dxa" w:w="2160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148,000 ج.م</w:t>
            </w:r>
          </w:p>
        </w:tc>
        <w:tc>
          <w:tcPr>
            <w:tcW w:type="dxa" w:w="1872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4.7 شهر</w:t>
            </w:r>
          </w:p>
        </w:tc>
        <w:tc>
          <w:tcPr>
            <w:tcW w:type="dxa" w:w="1728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استرداد ممتاز (&lt; 5 شهور)</w:t>
            </w:r>
          </w:p>
        </w:tc>
      </w:tr>
    </w:tbl>
    <w:p>
      <w:pPr>
        <w:spacing w:after="120" w:before="280" w:line="276" w:lineRule="auto"/>
        <w:jc w:val="right"/>
        <w:bidi w:val="1"/>
      </w:pPr>
      <w:r>
        <w:rPr>
          <w:rFonts w:ascii="Calibri" w:hAnsi="Calibri"/>
          <w:b/>
          <w:i w:val="0"/>
          <w:color w:val="107855"/>
          <w:sz w:val="32"/>
          <w:rtl/>
        </w:rPr>
        <w:t>9. مقارنة نماذج الأرباح لشركة Energix (Business Revenue Models)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168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وجه المقارنة</w:t>
            </w:r>
          </w:p>
        </w:tc>
        <w:tc>
          <w:tcPr>
            <w:tcW w:type="dxa" w:w="4176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نموذج البيع المباشر (Direct Sale + SaaS)</w:t>
            </w:r>
          </w:p>
        </w:tc>
        <w:tc>
          <w:tcPr>
            <w:tcW w:type="dxa" w:w="4176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نموذج شركة خدمات الطاقة (ESCO Shared Savings)</w:t>
            </w:r>
          </w:p>
        </w:tc>
      </w:tr>
      <w:tr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طريقة الدفع للعميل</w:t>
            </w:r>
          </w:p>
        </w:tc>
        <w:tc>
          <w:tcPr>
            <w:tcW w:type="dxa" w:w="417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العميل يشتري الأجهزة كأصل ويدفع اشتراكاً سنوياً</w:t>
            </w:r>
          </w:p>
        </w:tc>
        <w:tc>
          <w:tcPr>
            <w:tcW w:type="dxa" w:w="417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صفر استثمار مبدئي (Zero Upfront)، الدفع من الوفر الفعلي</w:t>
            </w:r>
          </w:p>
        </w:tc>
      </w:tr>
      <w:tr>
        <w:tc>
          <w:tcPr>
            <w:tcW w:type="dxa" w:w="3168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سعر بيع الأجهزة</w:t>
            </w:r>
          </w:p>
        </w:tc>
        <w:tc>
          <w:tcPr>
            <w:tcW w:type="dxa" w:w="4176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بيع المنظومة بـ 95,000 ج.م (هامش ربح = 36,700 ج.م)</w:t>
            </w:r>
          </w:p>
        </w:tc>
        <w:tc>
          <w:tcPr>
            <w:tcW w:type="dxa" w:w="4176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تتحمل Energix التكلفة وتستردها من فاتورة الوفر</w:t>
            </w:r>
          </w:p>
        </w:tc>
      </w:tr>
      <w:tr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الاشتراك البرمجي</w:t>
            </w:r>
          </w:p>
        </w:tc>
        <w:tc>
          <w:tcPr>
            <w:tcW w:type="dxa" w:w="417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850 ج.م شهرياً (10,200 ج.م سنوياً) للمراقبة والذكاء</w:t>
            </w:r>
          </w:p>
        </w:tc>
        <w:tc>
          <w:tcPr>
            <w:tcW w:type="dxa" w:w="417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تحصل Energix على 35% من صافي الوفر الشهري لمدة 3 سنوات</w:t>
            </w:r>
          </w:p>
        </w:tc>
      </w:tr>
      <w:tr>
        <w:tc>
          <w:tcPr>
            <w:tcW w:type="dxa" w:w="3168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إيراد الشركة من مخزن واحد</w:t>
            </w:r>
          </w:p>
        </w:tc>
        <w:tc>
          <w:tcPr>
            <w:tcW w:type="dxa" w:w="4176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36,700 ج.م أرباح بيع + 30,600 ج.م اشتراكات = 67,300 ج.م</w:t>
            </w:r>
          </w:p>
        </w:tc>
        <w:tc>
          <w:tcPr>
            <w:tcW w:type="dxa" w:w="4176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35% × 23,407 ج.م = 8,192 ج.م/شهر × 36 شهر = 294,912 ج.م</w:t>
            </w:r>
          </w:p>
        </w:tc>
      </w:tr>
      <w:tr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صافي ربح Energix</w:t>
            </w:r>
          </w:p>
        </w:tc>
        <w:tc>
          <w:tcPr>
            <w:tcW w:type="dxa" w:w="417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67,300 ج.م صافي ربح مباشر</w:t>
            </w:r>
          </w:p>
        </w:tc>
        <w:tc>
          <w:tcPr>
            <w:tcW w:type="dxa" w:w="417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211,940 ج.م صافي ربح تراكمي بعد استرداد ثمن الأجهزة والتشغيل!</w:t>
            </w:r>
          </w:p>
        </w:tc>
      </w:tr>
    </w:tbl>
    <w:p>
      <w:pPr>
        <w:spacing w:after="120" w:before="280" w:line="276" w:lineRule="auto"/>
        <w:jc w:val="right"/>
        <w:bidi w:val="1"/>
      </w:pPr>
      <w:r>
        <w:rPr>
          <w:rFonts w:ascii="Calibri" w:hAnsi="Calibri"/>
          <w:b/>
          <w:i w:val="0"/>
          <w:color w:val="107855"/>
          <w:sz w:val="32"/>
          <w:rtl/>
        </w:rPr>
        <w:t>10. الأثر البيئي وخفض الانبعاثات الكربونية (ESG &amp; Decarbonization)</w:t>
      </w:r>
    </w:p>
    <w:p>
      <w:pPr>
        <w:spacing w:after="80" w:before="0" w:line="276" w:lineRule="auto"/>
        <w:jc w:val="right"/>
        <w:bidi w:val="1"/>
      </w:pPr>
      <w:r>
        <w:rPr>
          <w:rFonts w:ascii="Calibri" w:hAnsi="Calibri"/>
          <w:b/>
          <w:i w:val="0"/>
          <w:color w:val="1E293B"/>
          <w:sz w:val="22"/>
          <w:rtl/>
        </w:rPr>
        <w:t xml:space="preserve">• معامل انبعاثات الشبكة القومية المصرية: </w:t>
      </w:r>
      <w:r>
        <w:rPr>
          <w:rFonts w:ascii="Calibri" w:hAnsi="Calibri"/>
          <w:b w:val="0"/>
          <w:i w:val="0"/>
          <w:color w:val="1E293B"/>
          <w:sz w:val="22"/>
          <w:rtl/>
        </w:rPr>
        <w:t>0.472 kg CO₂e / kWh (وفقاً لتقارير هيئة الطاقة الجديدة والمتجددة NREA).</w:t>
        <w:br/>
      </w:r>
      <w:r>
        <w:rPr>
          <w:rFonts w:ascii="Calibri" w:hAnsi="Calibri"/>
          <w:b/>
          <w:i w:val="0"/>
          <w:color w:val="1E293B"/>
          <w:sz w:val="22"/>
          <w:rtl/>
        </w:rPr>
        <w:t xml:space="preserve">• صافي خفض انبعاثات الكربون السنوي: </w:t>
      </w:r>
      <w:r>
        <w:rPr>
          <w:rFonts w:ascii="Calibri" w:hAnsi="Calibri"/>
          <w:b/>
          <w:i w:val="0"/>
          <w:color w:val="1E293B"/>
          <w:sz w:val="22"/>
          <w:rtl/>
        </w:rPr>
        <w:t xml:space="preserve">87,776 kWh × 0.472 kg = </w:t>
      </w:r>
      <w:r>
        <w:rPr>
          <w:rFonts w:ascii="Calibri" w:hAnsi="Calibri"/>
          <w:b/>
          <w:i w:val="0"/>
          <w:color w:val="059669"/>
          <w:sz w:val="22"/>
          <w:rtl/>
        </w:rPr>
        <w:t>41.43 طن متري من مكافئ ثاني أكسيد الكربون (tCO₂e) سنوياً.</w:t>
        <w:br/>
      </w:r>
      <w:r>
        <w:rPr>
          <w:rFonts w:ascii="Calibri" w:hAnsi="Calibri"/>
          <w:b/>
          <w:i w:val="0"/>
          <w:color w:val="1E293B"/>
          <w:sz w:val="22"/>
          <w:rtl/>
        </w:rPr>
        <w:t xml:space="preserve">• المكافئ البيئي الميداني: </w:t>
      </w:r>
      <w:r>
        <w:rPr>
          <w:rFonts w:ascii="Calibri" w:hAnsi="Calibri"/>
          <w:b w:val="0"/>
          <w:i w:val="0"/>
          <w:color w:val="1E293B"/>
          <w:sz w:val="22"/>
          <w:rtl/>
        </w:rPr>
        <w:t xml:space="preserve">يعادل امتصاص كربوني لـ </w:t>
      </w:r>
      <w:r>
        <w:rPr>
          <w:rFonts w:ascii="Calibri" w:hAnsi="Calibri"/>
          <w:b/>
          <w:i w:val="0"/>
          <w:color w:val="1E293B"/>
          <w:sz w:val="22"/>
          <w:rtl/>
        </w:rPr>
        <w:t>1,900 شجرة بالغة سنوياً</w:t>
      </w:r>
      <w:r>
        <w:rPr>
          <w:rFonts w:ascii="Calibri" w:hAnsi="Calibri"/>
          <w:b w:val="0"/>
          <w:i w:val="0"/>
          <w:color w:val="1E293B"/>
          <w:sz w:val="22"/>
          <w:rtl/>
        </w:rPr>
        <w:t xml:space="preserve"> أو إيقاف استهلاك </w:t>
      </w:r>
      <w:r>
        <w:rPr>
          <w:rFonts w:ascii="Calibri" w:hAnsi="Calibri"/>
          <w:b/>
          <w:i w:val="0"/>
          <w:color w:val="1E293B"/>
          <w:sz w:val="22"/>
          <w:rtl/>
        </w:rPr>
        <w:t>17,600 لتر بنزين</w:t>
      </w:r>
      <w:r>
        <w:rPr>
          <w:rFonts w:ascii="Calibri" w:hAnsi="Calibri"/>
          <w:b w:val="0"/>
          <w:i w:val="0"/>
          <w:color w:val="1E293B"/>
          <w:sz w:val="22"/>
          <w:rtl/>
        </w:rPr>
        <w:t>، مما يؤهل المستودع للحصول على شهادات المباني الخضراء (LEED) وشهادات خفض الكربون الدولية (Carbon Credits).</w:t>
      </w:r>
    </w:p>
    <w:p>
      <w:pPr>
        <w:spacing w:after="120" w:before="280" w:line="276" w:lineRule="auto"/>
        <w:jc w:val="right"/>
        <w:bidi w:val="1"/>
      </w:pPr>
      <w:r>
        <w:rPr>
          <w:rFonts w:ascii="Calibri" w:hAnsi="Calibri"/>
          <w:b/>
          <w:i w:val="0"/>
          <w:color w:val="107855"/>
          <w:sz w:val="32"/>
          <w:rtl/>
        </w:rPr>
        <w:t>11. جدول المراجع الرسمية والعلمية المعتمدة وتواريخ التحديث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3168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المرجع والجهة الرسمية</w:t>
            </w:r>
          </w:p>
        </w:tc>
        <w:tc>
          <w:tcPr>
            <w:tcW w:type="dxa" w:w="4608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🎯 ما يثبته هذا المرجع في دراستنا</w:t>
            </w:r>
          </w:p>
        </w:tc>
        <w:tc>
          <w:tcPr>
            <w:tcW w:type="dxa" w:w="1584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تاريخ آخر تحديث</w:t>
            </w:r>
          </w:p>
        </w:tc>
        <w:tc>
          <w:tcPr>
            <w:tcW w:type="dxa" w:w="2160"/>
            <w:vAlign w:val="center"/>
            <w:shd w:fill="064E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</w:rPr>
              <w:t>رابط التحقق الرسمي</w:t>
            </w:r>
          </w:p>
        </w:tc>
      </w:tr>
      <w:tr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جهاز تنظيم مرفق الكهرباء (EgyptERA) — مصر</w:t>
            </w:r>
          </w:p>
        </w:tc>
        <w:tc>
          <w:tcPr>
            <w:tcW w:type="dxa" w:w="460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إثبات صحة سعر الكهرباء (3.20 ج.م/kWh) للشريحة الصناعية/التجارية جهد متوسط وحساب الوفر السنوي (280 ألف ج.م).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أغسطس 2024</w:t>
            </w:r>
          </w:p>
        </w:tc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egyptera.org</w:t>
            </w:r>
          </w:p>
        </w:tc>
      </w:tr>
      <w:tr>
        <w:tc>
          <w:tcPr>
            <w:tcW w:type="dxa" w:w="3168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هيئة الطاقة الجديدة والمتجددة (NREA) — مصر</w:t>
            </w:r>
          </w:p>
        </w:tc>
        <w:tc>
          <w:tcPr>
            <w:tcW w:type="dxa" w:w="4608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إثبات معامل انبعاثات الشبكة المصرية (0.472 kg CO₂e/kWh) لحساب خفض الكربون المحقق للمشروع (41.43 طن/سنة).</w:t>
            </w:r>
          </w:p>
        </w:tc>
        <w:tc>
          <w:tcPr>
            <w:tcW w:type="dxa" w:w="1584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يونيو 2024</w:t>
            </w:r>
          </w:p>
        </w:tc>
        <w:tc>
          <w:tcPr>
            <w:tcW w:type="dxa" w:w="2160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nrea.gov.eg</w:t>
            </w:r>
          </w:p>
        </w:tc>
      </w:tr>
      <w:tr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الجمعية الأمريكية لمهندسي الطاقة (ASHRAE 90.1)</w:t>
            </w:r>
          </w:p>
        </w:tc>
        <w:tc>
          <w:tcPr>
            <w:tcW w:type="dxa" w:w="460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إثبات الكود الدولي الذي يمنع الإطفاء 0% للإضاءة داخل الممرات لدواعي السلامة ويفرض وضع الاستعداد 20% Standby.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يناير 2024</w:t>
            </w:r>
          </w:p>
        </w:tc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ashrae.org</w:t>
            </w:r>
          </w:p>
        </w:tc>
      </w:tr>
      <w:tr>
        <w:tc>
          <w:tcPr>
            <w:tcW w:type="dxa" w:w="3168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وزارة الطاقة الأمريكية (U.S. DOE FEMP)</w:t>
            </w:r>
          </w:p>
        </w:tc>
        <w:tc>
          <w:tcPr>
            <w:tcW w:type="dxa" w:w="4608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إثبات أن ممرات المخازن تكون خالية 60%-70% من ساعات اليوم، وأن الحساسات تحقق وفراً موثقاً يتجاوز 55%.</w:t>
            </w:r>
          </w:p>
        </w:tc>
        <w:tc>
          <w:tcPr>
            <w:tcW w:type="dxa" w:w="1584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مارس 2024</w:t>
            </w:r>
          </w:p>
        </w:tc>
        <w:tc>
          <w:tcPr>
            <w:tcW w:type="dxa" w:w="2160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energy.gov/femp</w:t>
            </w:r>
          </w:p>
        </w:tc>
      </w:tr>
      <w:tr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تحالف إن-أوشين الدولي (EnOcean Alliance)</w:t>
            </w:r>
          </w:p>
        </w:tc>
        <w:tc>
          <w:tcPr>
            <w:tcW w:type="dxa" w:w="460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إثبات واقعية فترة استرداد رأس المال السريعة لمستودع 10,000 م² في أقل من 4 أشهر (في دراستنا 2.57 شهر).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نوفمبر 2023</w:t>
            </w:r>
          </w:p>
        </w:tc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enocean-alliance.org</w:t>
            </w:r>
          </w:p>
        </w:tc>
      </w:tr>
      <w:tr>
        <w:tc>
          <w:tcPr>
            <w:tcW w:type="dxa" w:w="3168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شركة AGC Lighting العالمية للحلول الصناعية</w:t>
            </w:r>
          </w:p>
        </w:tc>
        <w:tc>
          <w:tcPr>
            <w:tcW w:type="dxa" w:w="4608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إثبات كفاءة دمج حساسات الرادار الدقيق (Microwave) مع الـ PIR لتفادي الإنذار الخاطئ والاستجابة الفورية.</w:t>
            </w:r>
          </w:p>
        </w:tc>
        <w:tc>
          <w:tcPr>
            <w:tcW w:type="dxa" w:w="1584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مايو 2024</w:t>
            </w:r>
          </w:p>
        </w:tc>
        <w:tc>
          <w:tcPr>
            <w:tcW w:type="dxa" w:w="2160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agcled.com</w:t>
            </w:r>
          </w:p>
        </w:tc>
      </w:tr>
      <w:tr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وكالة الطاقة الدولية (IEA)</w:t>
            </w:r>
          </w:p>
        </w:tc>
        <w:tc>
          <w:tcPr>
            <w:tcW w:type="dxa" w:w="460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إثبات النسب العالمية لهدر الطاقة في الإنارة الصناعية وسلاسل الإمداد ومطابقة المشروع للأهداف العالمية.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ديسمبر 2023</w:t>
            </w:r>
          </w:p>
        </w:tc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iea.org</w:t>
            </w:r>
          </w:p>
        </w:tc>
      </w:tr>
      <w:tr>
        <w:tc>
          <w:tcPr>
            <w:tcW w:type="dxa" w:w="3168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right"/>
              <w:bidi w:val="1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</w:rPr>
              <w:t>منصة Groq Cloud و xAI</w:t>
            </w:r>
          </w:p>
        </w:tc>
        <w:tc>
          <w:tcPr>
            <w:tcW w:type="dxa" w:w="4608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إثبات سرعة استجابة المساعد الذكي في أقل من نصف ثانية (&lt;0.5s) لتنفيذ أوامر التحكم وقراءة الجداول التحليلية.</w:t>
            </w:r>
          </w:p>
        </w:tc>
        <w:tc>
          <w:tcPr>
            <w:tcW w:type="dxa" w:w="1584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سبتمبر 2024</w:t>
            </w:r>
          </w:p>
        </w:tc>
        <w:tc>
          <w:tcPr>
            <w:tcW w:type="dxa" w:w="2160"/>
            <w:vAlign w:val="center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 w:before="0" w:line="276" w:lineRule="auto"/>
              <w:jc w:val="center"/>
              <w:bidi w:val="1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  <w:rtl/>
              </w:rPr>
              <w:t>console.groq.com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