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36"/>
          <w:szCs w:val="36"/>
        </w:rPr>
        <w:t xml:space="preserve">Composable Micro-Transformers for</w:t>
      </w:r>
    </w:p>
    <w:p>
      <w:pPr>
        <w:spacing w:after="240"/>
        <w:jc w:val="center"/>
      </w:pPr>
      <w:r>
        <w:rPr>
          <w:rFonts w:ascii="Georgia" w:cs="Georgia" w:eastAsia="Georgia" w:hAnsi="Georgia"/>
          <w:b/>
          <w:bCs/>
          <w:sz w:val="36"/>
          <w:szCs w:val="36"/>
        </w:rPr>
        <w:t xml:space="preserve">Edge-Native Anomaly Detection</w:t>
      </w:r>
    </w:p>
    <w:p>
      <w:pPr>
        <w:spacing w:after="80"/>
        <w:jc w:val="center"/>
      </w:pPr>
      <w:r>
        <w:rPr>
          <w:rFonts w:ascii="Georgia" w:cs="Georgia" w:eastAsia="Georgia" w:hAnsi="Georgia"/>
          <w:sz w:val="22"/>
          <w:szCs w:val="22"/>
        </w:rPr>
        <w:t xml:space="preserve">Eric Kirima</w:t>
      </w:r>
    </w:p>
    <w:p>
      <w:pPr>
        <w:spacing w:after="80"/>
        <w:jc w:val="center"/>
      </w:pPr>
      <w:r>
        <w:rPr>
          <w:rFonts w:ascii="Georgia" w:cs="Georgia" w:eastAsia="Georgia" w:hAnsi="Georgia"/>
          <w:i/>
          <w:iCs/>
          <w:sz w:val="20"/>
          <w:szCs w:val="20"/>
        </w:rPr>
        <w:t xml:space="preserve">Eryx Labs</w:t>
      </w:r>
    </w:p>
    <w:p>
      <w:pPr>
        <w:spacing w:after="40"/>
        <w:jc w:val="center"/>
      </w:pPr>
      <w:r>
        <w:rPr>
          <w:rFonts w:ascii="Georgia" w:cs="Georgia" w:eastAsia="Georgia" w:hAnsi="Georgia"/>
          <w:color w:val="666666"/>
          <w:sz w:val="20"/>
          <w:szCs w:val="20"/>
        </w:rPr>
        <w:t xml:space="preserve">February 2026</w:t>
      </w:r>
    </w:p>
    <w:p>
      <w:pPr>
        <w:spacing w:after="360"/>
        <w:jc w:val="center"/>
      </w:pPr>
      <w:r>
        <w:rPr>
          <w:rFonts w:ascii="Georgia" w:cs="Georgia" w:eastAsia="Georgia" w:hAnsi="Georgia"/>
          <w:i/>
          <w:iCs/>
          <w:color w:val="CC0000"/>
          <w:sz w:val="18"/>
          <w:szCs w:val="18"/>
        </w:rPr>
        <w:t xml:space="preserve">DRAFT — Results pending benchmark completion</w:t>
      </w:r>
    </w:p>
    <w:p>
      <w:pPr>
        <w:pStyle w:val="Heading1"/>
        <w:spacing w:before="360" w:after="200"/>
      </w:pPr>
      <w:r>
        <w:rPr>
          <w:rFonts w:ascii="Georgia" w:cs="Georgia" w:eastAsia="Georgia" w:hAnsi="Georgia"/>
          <w:b/>
          <w:bCs/>
          <w:sz w:val="28"/>
          <w:szCs w:val="28"/>
        </w:rPr>
        <w:t xml:space="preserve">Abstract</w:t>
      </w:r>
    </w:p>
    <w:p>
      <w:pPr>
        <w:spacing w:after="160" w:line="320"/>
      </w:pPr>
      <w:r>
        <w:rPr>
          <w:rFonts w:ascii="Georgia" w:cs="Georgia" w:eastAsia="Georgia" w:hAnsi="Georgia"/>
          <w:sz w:val="22"/>
          <w:szCs w:val="22"/>
        </w:rPr>
        <w:t xml:space="preserve">We present KIRI, a system architecture for anomaly detection on heterogeneous edge telemetry using independently trained micro-transformer models we call </w:t>
      </w:r>
      <w:r>
        <w:rPr>
          <w:rFonts w:ascii="Georgia" w:cs="Georgia" w:eastAsia="Georgia" w:hAnsi="Georgia"/>
          <w:i/>
          <w:iCs/>
          <w:sz w:val="22"/>
          <w:szCs w:val="22"/>
        </w:rPr>
        <w:t xml:space="preserve">atoms</w:t>
      </w:r>
      <w:r>
        <w:rPr>
          <w:rFonts w:ascii="Georgia" w:cs="Georgia" w:eastAsia="Georgia" w:hAnsi="Georgia"/>
          <w:sz w:val="22"/>
          <w:szCs w:val="22"/>
        </w:rPr>
        <w:t xml:space="preserve">. Each atom is a decoder-only transformer with fewer than 30,000 parameters, trained on quantized state-token sequences from a single signal domain (e.g., infrastructure metrics, user activity patterns). Atoms are composed through a lightweight meta-layer that combines their per-observation surprise scores to produce cross-domain anomaly detection. We evaluate whether this compositional approach detects anomalies that neither individual atoms nor a single monolithic model of equivalent total parameter count can identify. Our benchmark introduces three anomaly classes: domain-specific anomalies detectable by individual atoms, and critically, cross-domain anomalies that appear normal within each domain but are suspicious only in combination. We report precision, recall, and F1 across all classes. KIRI runs entirely on commodity hardware (Apple Silicon Mac Mini, ESP32 microcontrollers) with zero cloud dependency, sub-100ms inference latency, and continuous on-device retraining. The architecture is open source.</w:t>
      </w:r>
    </w:p>
    <w:p>
      <w:pPr>
        <w:pStyle w:val="Heading1"/>
        <w:spacing w:before="360" w:after="200"/>
      </w:pPr>
      <w:r>
        <w:rPr>
          <w:rFonts w:ascii="Georgia" w:cs="Georgia" w:eastAsia="Georgia" w:hAnsi="Georgia"/>
          <w:b/>
          <w:bCs/>
          <w:sz w:val="28"/>
          <w:szCs w:val="28"/>
        </w:rPr>
        <w:t xml:space="preserve">1. Introduction</w:t>
      </w:r>
    </w:p>
    <w:p>
      <w:pPr>
        <w:spacing w:after="160" w:line="320"/>
      </w:pPr>
      <w:r>
        <w:rPr>
          <w:rFonts w:ascii="Georgia" w:cs="Georgia" w:eastAsia="Georgia" w:hAnsi="Georgia"/>
          <w:sz w:val="22"/>
          <w:szCs w:val="22"/>
        </w:rPr>
        <w:t xml:space="preserve">Anomaly detection on system telemetry is a well-studied problem. Sequence-model approaches such as DeepLog (Du et al., 2017), LogAnomaly (Meng et al., 2019), and LogBERT (Guo et al., 2021) have demonstrated that learned representations of log sequences outperform rule-based systems. More recently, transformer-based methods including TranAD (Tuli et al., 2022) and Anomaly Transformer (Xu et al., 2022) have achieved strong results on multivariate time-series benchmarks. The tokenization of continuous time series into discrete vocabularies for language-model training, as explored by Chronos (Ansari et al., 2024), further bridges the gap between sequence modeling and traditional signal processing.</w:t>
      </w:r>
    </w:p>
    <w:p>
      <w:pPr>
        <w:spacing w:after="160" w:line="320"/>
      </w:pPr>
      <w:r>
        <w:rPr>
          <w:rFonts w:ascii="Georgia" w:cs="Georgia" w:eastAsia="Georgia" w:hAnsi="Georgia"/>
          <w:sz w:val="22"/>
          <w:szCs w:val="22"/>
        </w:rPr>
        <w:t xml:space="preserve">However, these systems share common assumptions that limit their applicability in certain deployment contexts. They are typically designed for centralized infrastructure: a single model ingests all signals, trains on GPU clusters, and serves predictions from a cloud endpoint. This creates dependencies on network connectivity, cloud compute budgets, and data centralization that are impractical for resource-constrained environments, privacy-sensitive deployments, or heterogeneous edge networks where different signal domains have different collection rates, vocabularies, and ownership boundaries.</w:t>
      </w:r>
    </w:p>
    <w:p>
      <w:pPr>
        <w:spacing w:after="160" w:line="320"/>
      </w:pPr>
      <w:r>
        <w:rPr>
          <w:rFonts w:ascii="Georgia" w:cs="Georgia" w:eastAsia="Georgia" w:hAnsi="Georgia"/>
          <w:sz w:val="22"/>
          <w:szCs w:val="22"/>
        </w:rPr>
        <w:t xml:space="preserve">We propose an alternative architecture based on </w:t>
      </w:r>
      <w:r>
        <w:rPr>
          <w:rFonts w:ascii="Georgia" w:cs="Georgia" w:eastAsia="Georgia" w:hAnsi="Georgia"/>
          <w:i/>
          <w:iCs/>
          <w:sz w:val="22"/>
          <w:szCs w:val="22"/>
        </w:rPr>
        <w:t xml:space="preserve">composable micro-transformers</w:t>
      </w:r>
      <w:r>
        <w:rPr>
          <w:rFonts w:ascii="Georgia" w:cs="Georgia" w:eastAsia="Georgia" w:hAnsi="Georgia"/>
          <w:sz w:val="22"/>
          <w:szCs w:val="22"/>
        </w:rPr>
        <w:t xml:space="preserve">. Rather than a monolithic model, KIRI decomposes anomaly detection into independent, domain-specific </w:t>
      </w:r>
      <w:r>
        <w:rPr>
          <w:rFonts w:ascii="Georgia" w:cs="Georgia" w:eastAsia="Georgia" w:hAnsi="Georgia"/>
          <w:i/>
          <w:iCs/>
          <w:sz w:val="22"/>
          <w:szCs w:val="22"/>
        </w:rPr>
        <w:t xml:space="preserve">atoms</w:t>
      </w:r>
      <w:r>
        <w:rPr>
          <w:rFonts w:ascii="Georgia" w:cs="Georgia" w:eastAsia="Georgia" w:hAnsi="Georgia"/>
          <w:sz w:val="22"/>
          <w:szCs w:val="22"/>
        </w:rPr>
        <w:t xml:space="preserve"> — each a decoder-only transformer under 30K parameters — whose outputs are composed through a lightweight meta-layer. This design has several properties: atoms can be trained independently on different hardware, added or removed without retraining the system, and deployed to devices as small as ESP32 microcontrollers. The composition layer introduces cross-domain reasoning that no individual atom possesses.</w:t>
      </w:r>
    </w:p>
    <w:p>
      <w:pPr>
        <w:spacing w:after="160" w:line="320"/>
      </w:pPr>
      <w:r>
        <w:rPr>
          <w:rFonts w:ascii="Georgia" w:cs="Georgia" w:eastAsia="Georgia" w:hAnsi="Georgia"/>
          <w:sz w:val="22"/>
          <w:szCs w:val="22"/>
        </w:rPr>
        <w:t xml:space="preserve">The central question of this paper is whether this compositional approach is merely a packaging convenience or whether it provides a genuine detection advantage. Specifically: do composed atoms detect anomalies that a single model of equivalent size, seeing all signals simultaneously, cannot?</w:t>
      </w:r>
    </w:p>
    <w:p>
      <w:pPr>
        <w:pStyle w:val="Heading1"/>
        <w:spacing w:before="360" w:after="200"/>
      </w:pPr>
      <w:r>
        <w:rPr>
          <w:rFonts w:ascii="Georgia" w:cs="Georgia" w:eastAsia="Georgia" w:hAnsi="Georgia"/>
          <w:b/>
          <w:bCs/>
          <w:sz w:val="28"/>
          <w:szCs w:val="28"/>
        </w:rPr>
        <w:t xml:space="preserve">2. Background and Related Work</w:t>
      </w:r>
    </w:p>
    <w:p>
      <w:pPr>
        <w:pStyle w:val="Heading2"/>
        <w:spacing w:before="360" w:after="200"/>
      </w:pPr>
      <w:r>
        <w:rPr>
          <w:rFonts w:ascii="Georgia" w:cs="Georgia" w:eastAsia="Georgia" w:hAnsi="Georgia"/>
          <w:b/>
          <w:bCs/>
          <w:sz w:val="24"/>
          <w:szCs w:val="24"/>
        </w:rPr>
        <w:t xml:space="preserve">2.1 Sequence-Model Anomaly Detection</w:t>
      </w:r>
    </w:p>
    <w:p>
      <w:pPr>
        <w:spacing w:after="160" w:line="320"/>
      </w:pPr>
      <w:r>
        <w:rPr>
          <w:rFonts w:ascii="Georgia" w:cs="Georgia" w:eastAsia="Georgia" w:hAnsi="Georgia"/>
          <w:sz w:val="22"/>
          <w:szCs w:val="22"/>
        </w:rPr>
        <w:t xml:space="preserve">DeepLog (CCS 2017) pioneered the use of LSTM networks to model system log sequences, treating anomaly detection as a next-token prediction problem where high-surprise observations indicate anomalies. LogAnomaly (IJCAI 2019) extended this with semantic-aware representations. LogBERT (2021) applied bidirectional transformers to log data. These methods established that learned sequence models outperform static rules, but they operate on text logs from centralized infrastructure, not heterogeneous multi-domain telemetry.</w:t>
      </w:r>
    </w:p>
    <w:p>
      <w:pPr>
        <w:pStyle w:val="Heading2"/>
        <w:spacing w:before="360" w:after="200"/>
      </w:pPr>
      <w:r>
        <w:rPr>
          <w:rFonts w:ascii="Georgia" w:cs="Georgia" w:eastAsia="Georgia" w:hAnsi="Georgia"/>
          <w:b/>
          <w:bCs/>
          <w:sz w:val="24"/>
          <w:szCs w:val="24"/>
        </w:rPr>
        <w:t xml:space="preserve">2.2 Transformer-Based Time-Series AD</w:t>
      </w:r>
    </w:p>
    <w:p>
      <w:pPr>
        <w:spacing w:after="160" w:line="320"/>
      </w:pPr>
      <w:r>
        <w:rPr>
          <w:rFonts w:ascii="Georgia" w:cs="Georgia" w:eastAsia="Georgia" w:hAnsi="Georgia"/>
          <w:sz w:val="22"/>
          <w:szCs w:val="22"/>
        </w:rPr>
        <w:t xml:space="preserve">TranAD (VLDB 2022) uses adversarial training on transformer encoders for multivariate time-series anomaly detection. Anomaly Transformer (ICLR 2022) introduces an association-discrepancy mechanism that captures temporal relationships at multiple scales. Both achieve state-of-the-art results on benchmarks like SMD, MSL, and SMAP. However, both require GPU training and inference, operate on continuous-valued inputs, and assume a single model handles all signals.</w:t>
      </w:r>
    </w:p>
    <w:p>
      <w:pPr>
        <w:pStyle w:val="Heading2"/>
        <w:spacing w:before="360" w:after="200"/>
      </w:pPr>
      <w:r>
        <w:rPr>
          <w:rFonts w:ascii="Georgia" w:cs="Georgia" w:eastAsia="Georgia" w:hAnsi="Georgia"/>
          <w:b/>
          <w:bCs/>
          <w:sz w:val="24"/>
          <w:szCs w:val="24"/>
        </w:rPr>
        <w:t xml:space="preserve">2.3 Tokenized Time Series</w:t>
      </w:r>
    </w:p>
    <w:p>
      <w:pPr>
        <w:spacing w:after="160" w:line="320"/>
      </w:pPr>
      <w:r>
        <w:rPr>
          <w:rFonts w:ascii="Georgia" w:cs="Georgia" w:eastAsia="Georgia" w:hAnsi="Georgia"/>
          <w:sz w:val="22"/>
          <w:szCs w:val="22"/>
        </w:rPr>
        <w:t xml:space="preserve">Chronos (Amazon, 2024) demonstrates that quantizing continuous time series into discrete tokens and training language models on the resulting sequences produces competitive forecasting. This validates the approach KIRI takes: converting continuous telemetry into a discrete state vocabulary and training next-token predictors. The key difference is that KIRI applies this to anomaly detection rather than forecasting, uses micro-scale models, and operates on-device rather than in the cloud.</w:t>
      </w:r>
    </w:p>
    <w:p>
      <w:pPr>
        <w:pStyle w:val="Heading2"/>
        <w:spacing w:before="360" w:after="200"/>
      </w:pPr>
      <w:r>
        <w:rPr>
          <w:rFonts w:ascii="Georgia" w:cs="Georgia" w:eastAsia="Georgia" w:hAnsi="Georgia"/>
          <w:b/>
          <w:bCs/>
          <w:sz w:val="24"/>
          <w:szCs w:val="24"/>
        </w:rPr>
        <w:t xml:space="preserve">2.4 What Is Missing</w:t>
      </w:r>
    </w:p>
    <w:p>
      <w:pPr>
        <w:spacing w:after="160" w:line="320"/>
      </w:pPr>
      <w:r>
        <w:rPr>
          <w:rFonts w:ascii="Georgia" w:cs="Georgia" w:eastAsia="Georgia" w:hAnsi="Georgia"/>
          <w:sz w:val="22"/>
          <w:szCs w:val="22"/>
        </w:rPr>
        <w:t xml:space="preserve">No existing work explores whether multiple independently-trained micro-transformers on different signal domains can be composed to achieve cross-domain anomaly detection that exceeds the capability of each individual model and matches or exceeds a monolithic alternative. This is the specific gap KIRI addresses.</w:t>
      </w:r>
    </w:p>
    <w:p>
      <w:pPr>
        <w:pStyle w:val="Heading1"/>
        <w:spacing w:before="360" w:after="200"/>
      </w:pPr>
      <w:r>
        <w:rPr>
          <w:rFonts w:ascii="Georgia" w:cs="Georgia" w:eastAsia="Georgia" w:hAnsi="Georgia"/>
          <w:b/>
          <w:bCs/>
          <w:sz w:val="28"/>
          <w:szCs w:val="28"/>
        </w:rPr>
        <w:t xml:space="preserve">3. Architecture</w:t>
      </w:r>
    </w:p>
    <w:p>
      <w:pPr>
        <w:pStyle w:val="Heading2"/>
        <w:spacing w:before="360" w:after="200"/>
      </w:pPr>
      <w:r>
        <w:rPr>
          <w:rFonts w:ascii="Georgia" w:cs="Georgia" w:eastAsia="Georgia" w:hAnsi="Georgia"/>
          <w:b/>
          <w:bCs/>
          <w:sz w:val="24"/>
          <w:szCs w:val="24"/>
        </w:rPr>
        <w:t xml:space="preserve">3.1 State Language</w:t>
      </w:r>
    </w:p>
    <w:p>
      <w:pPr>
        <w:spacing w:after="160" w:line="320"/>
      </w:pPr>
      <w:r>
        <w:rPr>
          <w:rFonts w:ascii="Georgia" w:cs="Georgia" w:eastAsia="Georgia" w:hAnsi="Georgia"/>
          <w:sz w:val="22"/>
          <w:szCs w:val="22"/>
        </w:rPr>
        <w:t xml:space="preserve">Each signal domain defines a </w:t>
      </w:r>
      <w:r>
        <w:rPr>
          <w:rFonts w:ascii="Georgia" w:cs="Georgia" w:eastAsia="Georgia" w:hAnsi="Georgia"/>
          <w:i/>
          <w:iCs/>
          <w:sz w:val="22"/>
          <w:szCs w:val="22"/>
        </w:rPr>
        <w:t xml:space="preserve">state language</w:t>
      </w:r>
      <w:r>
        <w:rPr>
          <w:rFonts w:ascii="Georgia" w:cs="Georgia" w:eastAsia="Georgia" w:hAnsi="Georgia"/>
          <w:sz w:val="22"/>
          <w:szCs w:val="22"/>
        </w:rPr>
        <w:t xml:space="preserve">: a mapping from continuous measurements to discrete tokens. For infrastructure monitoring (the Pulse domain), CPU utilization [0, 100] maps to tokens C0 through C9 via 10-percentile buckets. Memory, disk, swap, load, and network status each have their own token ranges. For user activity (the Rhythm domain), idle time maps to tokens I0-I9, activity density to A0-A9, and hour-of-day and day-of-week to categorical tokens.</w:t>
      </w:r>
    </w:p>
    <w:p>
      <w:pPr>
        <w:spacing w:after="160" w:line="320"/>
      </w:pPr>
      <w:r>
        <w:rPr>
          <w:rFonts w:ascii="Georgia" w:cs="Georgia" w:eastAsia="Georgia" w:hAnsi="Georgia"/>
          <w:sz w:val="22"/>
          <w:szCs w:val="22"/>
        </w:rPr>
        <w:t xml:space="preserve">Each observation produces a fixed-length token sequence: BOS followed by one token per signal dimension. The state language is defined by a schema (a Python dictionary specifying signal names, ranges, and bucket counts) and a StateLanguage object that handles quantization and vocabulary management. The vocabulary size is the sum of all bucket counts plus special tokens (BOS, PAD). For Pulse, this is 43 tokens; for Rhythm, 40 tokens.</w:t>
      </w:r>
    </w:p>
    <w:p>
      <w:pPr>
        <w:pStyle w:val="Heading2"/>
        <w:spacing w:before="360" w:after="200"/>
      </w:pPr>
      <w:r>
        <w:rPr>
          <w:rFonts w:ascii="Georgia" w:cs="Georgia" w:eastAsia="Georgia" w:hAnsi="Georgia"/>
          <w:b/>
          <w:bCs/>
          <w:sz w:val="24"/>
          <w:szCs w:val="24"/>
        </w:rPr>
        <w:t xml:space="preserve">3.2 Atoms</w:t>
      </w:r>
    </w:p>
    <w:p>
      <w:pPr>
        <w:spacing w:after="160" w:line="320"/>
      </w:pPr>
      <w:r>
        <w:rPr>
          <w:rFonts w:ascii="Georgia" w:cs="Georgia" w:eastAsia="Georgia" w:hAnsi="Georgia"/>
          <w:sz w:val="22"/>
          <w:szCs w:val="22"/>
        </w:rPr>
        <w:t xml:space="preserve">An atom is a decoder-only transformer trained to predict the next token in a state sequence. The architecture follows Karpathy's microgpt (2026): token and position embeddings, N transformer blocks (each with multi-head causal self-attention, layer normalization, and a two-layer MLP with ReLU activation), and a linear output head. Default configuration: embedding dimension 32, 4 attention heads, 2 layers, context window of 16 tokens. This yields 27,840 parameters for Pulse and 27,008 for Rhythm.</w:t>
      </w:r>
    </w:p>
    <w:p>
      <w:pPr>
        <w:spacing w:after="160" w:line="320"/>
      </w:pPr>
      <w:r>
        <w:rPr>
          <w:rFonts w:ascii="Georgia" w:cs="Georgia" w:eastAsia="Georgia" w:hAnsi="Georgia"/>
          <w:sz w:val="22"/>
          <w:szCs w:val="22"/>
        </w:rPr>
        <w:t xml:space="preserve">Training uses the Adam optimizer (betas 0.85, 0.99) on cross-entropy loss over next-token prediction. The model processes sequences of observations: given the current window of 16 tokens, predict the next token. The anomaly score for an observation is the average negative log-probability of each token in the observation, computed across all positions in the sequence window.</w:t>
      </w:r>
    </w:p>
    <w:p>
      <w:pPr>
        <w:spacing w:after="160" w:line="320"/>
      </w:pPr>
      <w:r>
        <w:rPr>
          <w:rFonts w:ascii="Georgia" w:cs="Georgia" w:eastAsia="Georgia" w:hAnsi="Georgia"/>
          <w:sz w:val="22"/>
          <w:szCs w:val="22"/>
        </w:rPr>
        <w:t xml:space="preserve">Atoms train on-device. On an Apple M1 Mac Mini with MPS acceleration via PyTorch, training 2000 steps on 500 observations takes approximately 30 seconds. In pure Python (zero dependencies), the same training takes approximately 8 minutes. Inference is sub-100ms in pure Python and sub-10ms with PyTorch/MPS.</w:t>
      </w:r>
    </w:p>
    <w:p>
      <w:pPr>
        <w:pStyle w:val="Heading2"/>
        <w:spacing w:before="360" w:after="200"/>
      </w:pPr>
      <w:r>
        <w:rPr>
          <w:rFonts w:ascii="Georgia" w:cs="Georgia" w:eastAsia="Georgia" w:hAnsi="Georgia"/>
          <w:b/>
          <w:bCs/>
          <w:sz w:val="24"/>
          <w:szCs w:val="24"/>
        </w:rPr>
        <w:t xml:space="preserve">3.3 Composition</w:t>
      </w:r>
    </w:p>
    <w:p>
      <w:pPr>
        <w:spacing w:after="160" w:line="320"/>
      </w:pPr>
      <w:r>
        <w:rPr>
          <w:rFonts w:ascii="Georgia" w:cs="Georgia" w:eastAsia="Georgia" w:hAnsi="Georgia"/>
          <w:sz w:val="22"/>
          <w:szCs w:val="22"/>
        </w:rPr>
        <w:t xml:space="preserve">The composition layer takes the anomaly scores from N atoms and produces a single composite score. We evaluate three composition functions. First, additive composition: the sum of all atom scores. Second, L2-norm composition: the Euclidean norm of the score vector. Third, max-plus-divergence: the maximum score plus a weighted absolute difference between scores, capturing the case where both atoms are mildly surprised (which may indicate a cross-domain anomaly even when neither score alone exceeds a threshold).</w:t>
      </w:r>
    </w:p>
    <w:p>
      <w:pPr>
        <w:spacing w:after="160" w:line="320"/>
      </w:pPr>
      <w:r>
        <w:rPr>
          <w:rFonts w:ascii="Georgia" w:cs="Georgia" w:eastAsia="Georgia" w:hAnsi="Georgia"/>
          <w:sz w:val="22"/>
          <w:szCs w:val="22"/>
        </w:rPr>
        <w:t xml:space="preserve">The composition layer adds zero trainable parameters. It is a deterministic function of atom outputs. This means atoms can be swapped, added, or removed without retraining. A new signal domain (e.g., network traffic patterns) requires only training a new atom and plugging its score into the existing composition function.</w:t>
      </w:r>
    </w:p>
    <w:p>
      <w:pPr>
        <w:pStyle w:val="Heading2"/>
        <w:spacing w:before="360" w:after="200"/>
      </w:pPr>
      <w:r>
        <w:rPr>
          <w:rFonts w:ascii="Georgia" w:cs="Georgia" w:eastAsia="Georgia" w:hAnsi="Georgia"/>
          <w:b/>
          <w:bCs/>
          <w:sz w:val="24"/>
          <w:szCs w:val="24"/>
        </w:rPr>
        <w:t xml:space="preserve">3.4 The Molecule (Optional Meta-Layer)</w:t>
      </w:r>
    </w:p>
    <w:p>
      <w:pPr>
        <w:spacing w:after="160" w:line="320"/>
      </w:pPr>
      <w:r>
        <w:rPr>
          <w:rFonts w:ascii="Georgia" w:cs="Georgia" w:eastAsia="Georgia" w:hAnsi="Georgia"/>
          <w:sz w:val="22"/>
          <w:szCs w:val="22"/>
        </w:rPr>
        <w:t xml:space="preserve">For deployments that require richer decision-making (alert, suppress, retrain), KIRI includes an optional </w:t>
      </w:r>
      <w:r>
        <w:rPr>
          <w:rFonts w:ascii="Georgia" w:cs="Georgia" w:eastAsia="Georgia" w:hAnsi="Georgia"/>
          <w:i/>
          <w:iCs/>
          <w:sz w:val="22"/>
          <w:szCs w:val="22"/>
        </w:rPr>
        <w:t xml:space="preserve">molecule</w:t>
      </w:r>
      <w:r>
        <w:rPr>
          <w:rFonts w:ascii="Georgia" w:cs="Georgia" w:eastAsia="Georgia" w:hAnsi="Georgia"/>
          <w:sz w:val="22"/>
          <w:szCs w:val="22"/>
        </w:rPr>
        <w:t xml:space="preserve">: a second-stage transformer (157,824 parameters) that takes atom scores, observation tokens, and temporal context as input and generates a decision token and natural-language explanation tokens. The molecule is trained on labeled examples of atom outputs paired with operator decisions. This paper focuses on the composition layer (Section 3.3) rather than the molecule, as the composition function has no learned parameters and therefore poses a cleaner experimental question.</w:t>
      </w:r>
    </w:p>
    <w:p>
      <w:pPr>
        <w:pStyle w:val="Heading1"/>
        <w:spacing w:before="360" w:after="200"/>
      </w:pPr>
      <w:r>
        <w:rPr>
          <w:rFonts w:ascii="Georgia" w:cs="Georgia" w:eastAsia="Georgia" w:hAnsi="Georgia"/>
          <w:b/>
          <w:bCs/>
          <w:sz w:val="28"/>
          <w:szCs w:val="28"/>
        </w:rPr>
        <w:t xml:space="preserve">4. Experiment</w:t>
      </w:r>
    </w:p>
    <w:p>
      <w:pPr>
        <w:pStyle w:val="Heading2"/>
        <w:spacing w:before="360" w:after="200"/>
      </w:pPr>
      <w:r>
        <w:rPr>
          <w:rFonts w:ascii="Georgia" w:cs="Georgia" w:eastAsia="Georgia" w:hAnsi="Georgia"/>
          <w:b/>
          <w:bCs/>
          <w:sz w:val="24"/>
          <w:szCs w:val="24"/>
        </w:rPr>
        <w:t xml:space="preserve">4.1 Data</w:t>
      </w:r>
    </w:p>
    <w:p>
      <w:pPr>
        <w:spacing w:after="160" w:line="320"/>
      </w:pPr>
      <w:r>
        <w:rPr>
          <w:rFonts w:ascii="Georgia" w:cs="Georgia" w:eastAsia="Georgia" w:hAnsi="Georgia"/>
          <w:sz w:val="22"/>
          <w:szCs w:val="22"/>
        </w:rPr>
        <w:t xml:space="preserve">We generate 7 days of synthetic telemetry at 30-second intervals (20,160 observations) following realistic diurnal and weekly patterns for a personal development workstation. Weekday work hours (9am-6pm) exhibit CPU 20-60%, memory 40-70%, low idle time, and high activity density. Evenings, nights, and weekends follow distinct patterns with appropriate noise (Gaussian, sigma approximately 5% of signal range).</w:t>
      </w:r>
    </w:p>
    <w:p>
      <w:pPr>
        <w:spacing w:after="160" w:line="320"/>
      </w:pPr>
      <w:r>
        <w:rPr>
          <w:rFonts w:ascii="Georgia" w:cs="Georgia" w:eastAsia="Georgia" w:hAnsi="Georgia"/>
          <w:sz w:val="22"/>
          <w:szCs w:val="22"/>
        </w:rPr>
        <w:t xml:space="preserve">Into this clean baseline, we inject 150 anomalies across three classes of 50 each. Class A (Pulse-only): anomalies detectable from infrastructure signals alone, such as CPU spikes to 90%+ during work hours or network outages. Class B (Rhythm-only): anomalies detectable from activity signals alone, such as zero idle time at 3am. Class C (Cross-domain): anomalies that appear normal in each domain individually but are suspicious in combination — for example, high CPU with deep idle (machine working hard but nobody present), or low CPU with high activity (user active but machine unresponsive, suggesting I/O hang).</w:t>
      </w:r>
    </w:p>
    <w:p>
      <w:pPr>
        <w:spacing w:after="160" w:line="320"/>
      </w:pPr>
      <w:r>
        <w:rPr>
          <w:rFonts w:ascii="Georgia" w:cs="Georgia" w:eastAsia="Georgia" w:hAnsi="Georgia"/>
          <w:sz w:val="22"/>
          <w:szCs w:val="22"/>
        </w:rPr>
        <w:t xml:space="preserve">Class C anomalies are specifically designed so that individual atom scores fall below 2.0, ensuring they are only detectable through composition.</w:t>
      </w:r>
    </w:p>
    <w:p>
      <w:pPr>
        <w:pStyle w:val="Heading2"/>
        <w:spacing w:before="360" w:after="200"/>
      </w:pPr>
      <w:r>
        <w:rPr>
          <w:rFonts w:ascii="Georgia" w:cs="Georgia" w:eastAsia="Georgia" w:hAnsi="Georgia"/>
          <w:b/>
          <w:bCs/>
          <w:sz w:val="24"/>
          <w:szCs w:val="24"/>
        </w:rPr>
        <w:t xml:space="preserve">4.2 Models</w:t>
      </w:r>
    </w:p>
    <w:p>
      <w:pPr>
        <w:spacing w:after="160" w:line="320"/>
      </w:pPr>
      <w:r>
        <w:rPr>
          <w:rFonts w:ascii="Georgia" w:cs="Georgia" w:eastAsia="Georgia" w:hAnsi="Georgia"/>
          <w:sz w:val="22"/>
          <w:szCs w:val="22"/>
        </w:rPr>
        <w:t xml:space="preserve">We train four models on clean data only (no anomalies in training set). Pulse atom (27,840 parameters): trained on infrastructure tokens. Rhythm atom (27,008 parameters): trained on activity tokens. Monolithic baseline (approximately 55,000 parameters): a single transformer seeing all signals concatenated into one vocabulary, with embedding dimension 48 to match the combined parameter count. All models train for 2000 steps with the Adam optimizer on MPS-accelerated PyTorch.</w:t>
      </w:r>
    </w:p>
    <w:p>
      <w:pPr>
        <w:pStyle w:val="Heading2"/>
        <w:spacing w:before="360" w:after="200"/>
      </w:pPr>
      <w:r>
        <w:rPr>
          <w:rFonts w:ascii="Georgia" w:cs="Georgia" w:eastAsia="Georgia" w:hAnsi="Georgia"/>
          <w:b/>
          <w:bCs/>
          <w:sz w:val="24"/>
          <w:szCs w:val="24"/>
        </w:rPr>
        <w:t xml:space="preserve">4.3 Scoring Methods</w:t>
      </w:r>
    </w:p>
    <w:p>
      <w:pPr>
        <w:spacing w:after="160" w:line="320"/>
      </w:pPr>
      <w:r>
        <w:rPr>
          <w:rFonts w:ascii="Georgia" w:cs="Georgia" w:eastAsia="Georgia" w:hAnsi="Georgia"/>
          <w:sz w:val="22"/>
          <w:szCs w:val="22"/>
        </w:rPr>
        <w:t xml:space="preserve">Each observation in the test set (clean data plus injected anomalies) is scored by six methods: Pulse-only, Rhythm-only, three composition variants (sum, L2, max-plus-divergence), and the monolithic baseline. For each method, we compute precision, recall, and F1 at thresholds from 0.5 to 8.0 in increments of 0.25, and report the best F1 per anomaly class.</w:t>
      </w:r>
    </w:p>
    <w:p>
      <w:pPr>
        <w:pStyle w:val="Heading2"/>
        <w:spacing w:before="360" w:after="200"/>
      </w:pPr>
      <w:r>
        <w:rPr>
          <w:rFonts w:ascii="Georgia" w:cs="Georgia" w:eastAsia="Georgia" w:hAnsi="Georgia"/>
          <w:b/>
          <w:bCs/>
          <w:sz w:val="24"/>
          <w:szCs w:val="24"/>
        </w:rPr>
        <w:t xml:space="preserve">4.4 Results</w:t>
      </w:r>
    </w:p>
    <w:p>
      <w:pPr>
        <w:spacing w:after="160" w:line="320"/>
      </w:pPr>
      <w:r>
        <w:rPr>
          <w:rFonts w:ascii="Georgia" w:cs="Georgia" w:eastAsia="Georgia" w:hAnsi="Georgia"/>
          <w:b/>
          <w:bCs/>
          <w:color w:val="CC0000"/>
          <w:sz w:val="22"/>
          <w:szCs w:val="22"/>
        </w:rPr>
        <w:t xml:space="preserve">[TABLE 1 — TO BE POPULATED AFTER RUNNING BENCHMARK]</w:t>
      </w:r>
    </w:p>
    <w:p>
      <w:pPr>
        <w:spacing w:after="160" w:line="320"/>
      </w:pPr>
      <w:r>
        <w:rPr>
          <w:rFonts w:ascii="Georgia" w:cs="Georgia" w:eastAsia="Georgia" w:hAnsi="Georgia"/>
          <w:sz w:val="22"/>
          <w:szCs w:val="22"/>
        </w:rPr>
        <w:t xml:space="preserve">We report results in Table 1. The key metric is Class C F1: if composed methods significantly outperform both individual atoms and the monolithic baseline on cross-domain anomalies, the composition hypothesis holds.</w:t>
      </w:r>
    </w:p>
    <w:p>
      <w:pPr>
        <w:spacing w:after="160" w:line="320"/>
      </w:pPr>
      <w:r>
        <w:rPr>
          <w:rFonts w:ascii="Georgia" w:cs="Georgia" w:eastAsia="Georgia" w:hAnsi="Georgia"/>
          <w:i/>
          <w:iCs/>
          <w:color w:val="CC0000"/>
          <w:sz w:val="22"/>
          <w:szCs w:val="22"/>
        </w:rPr>
        <w:t xml:space="preserve">[Placeholder for precision-recall curves, score distributions, and composition scatter plot figures.]</w:t>
      </w:r>
    </w:p>
    <w:p>
      <w:pPr>
        <w:pStyle w:val="Heading2"/>
        <w:spacing w:before="360" w:after="200"/>
      </w:pPr>
      <w:r>
        <w:rPr>
          <w:rFonts w:ascii="Georgia" w:cs="Georgia" w:eastAsia="Georgia" w:hAnsi="Georgia"/>
          <w:b/>
          <w:bCs/>
          <w:sz w:val="24"/>
          <w:szCs w:val="24"/>
        </w:rPr>
        <w:t xml:space="preserve">4.5 Analysis</w:t>
      </w:r>
    </w:p>
    <w:p>
      <w:pPr>
        <w:spacing w:after="160" w:line="320"/>
      </w:pPr>
      <w:r>
        <w:rPr>
          <w:rFonts w:ascii="Georgia" w:cs="Georgia" w:eastAsia="Georgia" w:hAnsi="Georgia"/>
          <w:i/>
          <w:iCs/>
          <w:color w:val="CC0000"/>
          <w:sz w:val="22"/>
          <w:szCs w:val="22"/>
        </w:rPr>
        <w:t xml:space="preserve">[To be written after benchmark results are available. Expected analysis: why composition helps on Class C, whether it hurts on Class A/B, how the monolithic model handles cross-domain signals, and the effect of composition function choice.]</w:t>
      </w:r>
    </w:p>
    <w:p>
      <w:pPr>
        <w:pStyle w:val="Heading1"/>
        <w:spacing w:before="360" w:after="200"/>
      </w:pPr>
      <w:r>
        <w:rPr>
          <w:rFonts w:ascii="Georgia" w:cs="Georgia" w:eastAsia="Georgia" w:hAnsi="Georgia"/>
          <w:b/>
          <w:bCs/>
          <w:sz w:val="28"/>
          <w:szCs w:val="28"/>
        </w:rPr>
        <w:t xml:space="preserve">5. Deployment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18"/>
                <w:szCs w:val="18"/>
              </w:rPr>
              <w:t xml:space="preserve">Metric</w:t>
            </w:r>
          </w:p>
        </w:tc>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18"/>
                <w:szCs w:val="18"/>
              </w:rPr>
              <w:t xml:space="preserve">Pure Python</w:t>
            </w:r>
          </w:p>
        </w:tc>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18"/>
                <w:szCs w:val="18"/>
              </w:rPr>
              <w:t xml:space="preserve">PyTorch/MPS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Inference latency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~100ms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&lt;10ms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Training (2000 steps)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~8 min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~30s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Memory footprint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&lt;50MB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&lt;100MB</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Pulse atom size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27,840 params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27,840 params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Dependencies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0 (stdlib only)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PyTorch</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Cloud required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No</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No</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Retraining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On-device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sz w:val="18"/>
                <w:szCs w:val="18"/>
              </w:rPr>
              <w:t xml:space="preserve">On-device</w:t>
            </w:r>
          </w:p>
        </w:tc>
      </w:tr>
    </w:tbl>
    <w:p>
      <w:pPr>
        <w:spacing w:after="160" w:line="320"/>
      </w:pPr>
    </w:p>
    <w:p>
      <w:pPr>
        <w:spacing w:after="160" w:line="320"/>
      </w:pPr>
      <w:r>
        <w:rPr>
          <w:rFonts w:ascii="Georgia" w:cs="Georgia" w:eastAsia="Georgia" w:hAnsi="Georgia"/>
          <w:sz w:val="22"/>
          <w:szCs w:val="22"/>
        </w:rPr>
        <w:t xml:space="preserve">The pure Python implementation uses a custom autograd engine (the Value class from Karpathy's microgpt) and has zero external dependencies. This means KIRI can run on any system with Python 3 installed, including environments where pip install is not available. The PyTorch implementation accelerates training by approximately 16x using Apple's Metal Performance Shaders (MPS) backend. Inference through the composition layer adds negligible overhead since it is a single arithmetic operation on scalar scores.</w:t>
      </w:r>
    </w:p>
    <w:p>
      <w:pPr>
        <w:spacing w:after="160" w:line="320"/>
      </w:pPr>
      <w:r>
        <w:rPr>
          <w:rFonts w:ascii="Georgia" w:cs="Georgia" w:eastAsia="Georgia" w:hAnsi="Georgia"/>
          <w:sz w:val="22"/>
          <w:szCs w:val="22"/>
        </w:rPr>
        <w:t xml:space="preserve">For embedded deployment, the atom's forward pass consists of 7 matrix multiplications, all with matrices under 50x50. Quantized to INT8, the entire model fits in under 30KB of flash memory on an ESP32-S3 microcontroller. The tokenization step (quantizing a sensor reading into a bucket) is a simple lookup table. This enables a deployment model where edge devices tokenize and run inference locally, transmitting only anomaly scores (a single float) rather than raw telemetry, preserving bandwidth and privacy.</w:t>
      </w:r>
    </w:p>
    <w:p>
      <w:pPr>
        <w:pStyle w:val="Heading1"/>
        <w:spacing w:before="360" w:after="200"/>
      </w:pPr>
      <w:r>
        <w:rPr>
          <w:rFonts w:ascii="Georgia" w:cs="Georgia" w:eastAsia="Georgia" w:hAnsi="Georgia"/>
          <w:b/>
          <w:bCs/>
          <w:sz w:val="28"/>
          <w:szCs w:val="28"/>
        </w:rPr>
        <w:t xml:space="preserve">6. Limitations</w:t>
      </w:r>
    </w:p>
    <w:p>
      <w:pPr>
        <w:spacing w:after="160" w:line="320"/>
      </w:pPr>
      <w:r>
        <w:rPr>
          <w:rFonts w:ascii="Georgia" w:cs="Georgia" w:eastAsia="Georgia" w:hAnsi="Georgia"/>
          <w:sz w:val="22"/>
          <w:szCs w:val="22"/>
        </w:rPr>
        <w:t xml:space="preserve">KIRI has significant limitations that scope its applicability. The 16-token context window means the model cannot detect patterns spanning hours or days without explicit encoding of longer-term features as summary tokens. The 10% bucket granularity loses precision: CPU 41% and 49% are the same token. The system detects anomalies but does not explain causation — it knows something is unusual, not why. Slow-drift anomalies (disk filling over weeks) are invisible within the context window. The composition layer is a hand-designed function, not learned; a learned composition layer would likely outperform but would require labeled cross-domain anomaly data, which is scarce.</w:t>
      </w:r>
    </w:p>
    <w:p>
      <w:pPr>
        <w:spacing w:after="160" w:line="320"/>
      </w:pPr>
      <w:r>
        <w:rPr>
          <w:rFonts w:ascii="Georgia" w:cs="Georgia" w:eastAsia="Georgia" w:hAnsi="Georgia"/>
          <w:sz w:val="22"/>
          <w:szCs w:val="22"/>
        </w:rPr>
        <w:t xml:space="preserve">The synthetic data in our benchmark may not fully represent the complexity of real-world telemetry distributions. Class C anomalies are designed to be composition-detectable by construction; whether naturally occurring cross-domain anomalies exhibit the same properties requires validation on production data. We are currently collecting long-duration real telemetry from a continuously running KIRI deployment to address this in future work.</w:t>
      </w:r>
    </w:p>
    <w:p>
      <w:pPr>
        <w:pStyle w:val="Heading1"/>
        <w:spacing w:before="360" w:after="200"/>
      </w:pPr>
      <w:r>
        <w:rPr>
          <w:rFonts w:ascii="Georgia" w:cs="Georgia" w:eastAsia="Georgia" w:hAnsi="Georgia"/>
          <w:b/>
          <w:bCs/>
          <w:sz w:val="28"/>
          <w:szCs w:val="28"/>
        </w:rPr>
        <w:t xml:space="preserve">7. Conclusion and Future Work</w:t>
      </w:r>
    </w:p>
    <w:p>
      <w:pPr>
        <w:spacing w:after="160" w:line="320"/>
      </w:pPr>
      <w:r>
        <w:rPr>
          <w:rFonts w:ascii="Georgia" w:cs="Georgia" w:eastAsia="Georgia" w:hAnsi="Georgia"/>
          <w:i/>
          <w:iCs/>
          <w:color w:val="CC0000"/>
          <w:sz w:val="22"/>
          <w:szCs w:val="22"/>
        </w:rPr>
        <w:t xml:space="preserve">[To be finalized after benchmark results. Expected conclusion: composition provides a genuine detection advantage for cross-domain anomalies at zero additional parameter cost, enabling a modular architecture that scales by adding atoms rather than growing a monolithic model.]</w:t>
      </w:r>
    </w:p>
    <w:p>
      <w:pPr>
        <w:spacing w:after="160" w:line="320"/>
      </w:pPr>
      <w:r>
        <w:rPr>
          <w:rFonts w:ascii="Georgia" w:cs="Georgia" w:eastAsia="Georgia" w:hAnsi="Georgia"/>
          <w:sz w:val="22"/>
          <w:szCs w:val="22"/>
        </w:rPr>
        <w:t xml:space="preserve">Future work includes: (1) evaluating on real-world telemetry from our continuously running deployment, (2) exploring learned composition functions, (3) extending the atom vocabulary to additional domains (network traffic, financial transactions, environmental sensors), (4) benchmarking inference on ESP32-S3 and Raspberry Pi Pico W hardware, and (5) investigating whether the composition advantage increases as the number of signal domains grows.</w:t>
      </w:r>
    </w:p>
    <w:p>
      <w:r>
        <w:br w:type="page"/>
      </w:r>
    </w:p>
    <w:p>
      <w:pPr>
        <w:pStyle w:val="Heading1"/>
        <w:spacing w:before="360" w:after="200"/>
      </w:pPr>
      <w:r>
        <w:rPr>
          <w:rFonts w:ascii="Georgia" w:cs="Georgia" w:eastAsia="Georgia" w:hAnsi="Georgia"/>
          <w:b/>
          <w:bCs/>
          <w:sz w:val="28"/>
          <w:szCs w:val="28"/>
        </w:rPr>
        <w:t xml:space="preserve">References</w:t>
      </w:r>
    </w:p>
    <w:p>
      <w:pPr>
        <w:spacing w:after="160" w:line="320"/>
      </w:pPr>
      <w:r>
        <w:rPr>
          <w:rFonts w:ascii="Georgia" w:cs="Georgia" w:eastAsia="Georgia" w:hAnsi="Georgia"/>
          <w:sz w:val="20"/>
          <w:szCs w:val="20"/>
        </w:rPr>
        <w:t xml:space="preserve">Ansari, A. F., et al. (2024). Chronos: Learning the Language of Time Series. Amazon Science.</w:t>
      </w:r>
    </w:p>
    <w:p>
      <w:pPr>
        <w:spacing w:after="160" w:line="320"/>
      </w:pPr>
      <w:r>
        <w:rPr>
          <w:rFonts w:ascii="Georgia" w:cs="Georgia" w:eastAsia="Georgia" w:hAnsi="Georgia"/>
          <w:sz w:val="20"/>
          <w:szCs w:val="20"/>
        </w:rPr>
        <w:t xml:space="preserve">Du, M., Li, F., Zheng, G., &amp; Srikumar, V. (2017). DeepLog: Anomaly Detection and Diagnosis from System Logs through Deep Learning. ACM CCS.</w:t>
      </w:r>
    </w:p>
    <w:p>
      <w:pPr>
        <w:spacing w:after="160" w:line="320"/>
      </w:pPr>
      <w:r>
        <w:rPr>
          <w:rFonts w:ascii="Georgia" w:cs="Georgia" w:eastAsia="Georgia" w:hAnsi="Georgia"/>
          <w:sz w:val="20"/>
          <w:szCs w:val="20"/>
        </w:rPr>
        <w:t xml:space="preserve">Guo, H., Yuan, S., &amp; Wu, X. (2021). LogBERT: Log Anomaly Detection via BERT. arXiv:2103.04475.</w:t>
      </w:r>
    </w:p>
    <w:p>
      <w:pPr>
        <w:spacing w:after="160" w:line="320"/>
      </w:pPr>
      <w:r>
        <w:rPr>
          <w:rFonts w:ascii="Georgia" w:cs="Georgia" w:eastAsia="Georgia" w:hAnsi="Georgia"/>
          <w:sz w:val="20"/>
          <w:szCs w:val="20"/>
        </w:rPr>
        <w:t xml:space="preserve">Karpathy, A. (2026). microgpt. GitHub Gist.</w:t>
      </w:r>
    </w:p>
    <w:p>
      <w:pPr>
        <w:spacing w:after="160" w:line="320"/>
      </w:pPr>
      <w:r>
        <w:rPr>
          <w:rFonts w:ascii="Georgia" w:cs="Georgia" w:eastAsia="Georgia" w:hAnsi="Georgia"/>
          <w:sz w:val="20"/>
          <w:szCs w:val="20"/>
        </w:rPr>
        <w:t xml:space="preserve">Meng, W., et al. (2019). LogAnomaly: Unsupervised Detection of Sequential and Quantitative Anomalies in Unstructured Logs. IJCAI.</w:t>
      </w:r>
    </w:p>
    <w:p>
      <w:pPr>
        <w:spacing w:after="160" w:line="320"/>
      </w:pPr>
      <w:r>
        <w:rPr>
          <w:rFonts w:ascii="Georgia" w:cs="Georgia" w:eastAsia="Georgia" w:hAnsi="Georgia"/>
          <w:sz w:val="20"/>
          <w:szCs w:val="20"/>
        </w:rPr>
        <w:t xml:space="preserve">Tuli, S., Casale, G., &amp; Jennings, N. R. (2022). TranAD: Deep Transformer Networks for Anomaly Detection in Multivariate Time Series Data. VLDB.</w:t>
      </w:r>
    </w:p>
    <w:p>
      <w:pPr>
        <w:spacing w:after="160" w:line="320"/>
      </w:pPr>
      <w:r>
        <w:rPr>
          <w:rFonts w:ascii="Georgia" w:cs="Georgia" w:eastAsia="Georgia" w:hAnsi="Georgia"/>
          <w:sz w:val="20"/>
          <w:szCs w:val="20"/>
        </w:rPr>
        <w:t xml:space="preserve">Xu, J., Wu, H., Wang, J., &amp; Long, M. (2022). Anomaly Transformer: Time Series Anomaly Detection with Association Discrepancy. ICLR.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28"/>
      <w:szCs w:val="28"/>
    </w:rPr>
  </w:style>
  <w:style w:type="paragraph" w:styleId="Heading2">
    <w:name w:val="Heading 2"/>
    <w:basedOn w:val="Normal"/>
    <w:next w:val="Normal"/>
    <w:qFormat/>
    <w:pPr>
      <w:spacing w:before="280" w:after="180"/>
      <w:outlineLvl w:val="1"/>
    </w:pPr>
    <w:rPr>
      <w:rFonts w:ascii="Georgia" w:cs="Georgia" w:eastAsia="Georgia" w:hAnsi="Georgia"/>
      <w:b/>
      <w:bCs/>
      <w:sz w:val="24"/>
      <w:szCs w:val="24"/>
    </w:rPr>
  </w:style>
  <w:style w:type="paragraph" w:styleId="Heading3">
    <w:name w:val="Heading 3"/>
    <w:basedOn w:val="Normal"/>
    <w:next w:val="Normal"/>
    <w:qFormat/>
    <w:pPr>
      <w:spacing w:before="200" w:after="12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2026-02-16T12:34:24.541Z</dcterms:created>
  <dcterms:modified xsi:type="dcterms:W3CDTF">2026-02-16T12:34:24.541Z</dcterms:modified>
</cp:coreProperties>
</file>

<file path=docProps/custom.xml><?xml version="1.0" encoding="utf-8"?>
<Properties xmlns="http://schemas.openxmlformats.org/officeDocument/2006/custom-properties" xmlns:vt="http://schemas.openxmlformats.org/officeDocument/2006/docPropsVTypes"/>
</file>