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3BC" w:rsidRDefault="00C813BC">
      <w:pPr>
        <w:rPr>
          <w:sz w:val="72"/>
        </w:rPr>
      </w:pPr>
    </w:p>
    <w:p w:rsidR="00C813BC" w:rsidRDefault="00C813BC">
      <w:pPr>
        <w:rPr>
          <w:sz w:val="72"/>
        </w:rPr>
      </w:pPr>
    </w:p>
    <w:p w:rsidR="00C813BC" w:rsidRDefault="00C813BC">
      <w:pPr>
        <w:rPr>
          <w:sz w:val="72"/>
        </w:rPr>
      </w:pPr>
    </w:p>
    <w:p w:rsidR="00C813BC" w:rsidRPr="00C813BC" w:rsidRDefault="00C813BC">
      <w:pPr>
        <w:rPr>
          <w:sz w:val="36"/>
        </w:rPr>
      </w:pPr>
    </w:p>
    <w:p w:rsidR="00B92ADD" w:rsidRPr="00C813BC" w:rsidRDefault="00C813BC" w:rsidP="00C813BC">
      <w:pPr>
        <w:jc w:val="center"/>
        <w:rPr>
          <w:sz w:val="72"/>
        </w:rPr>
      </w:pPr>
      <w:r w:rsidRPr="00C813BC">
        <w:rPr>
          <w:sz w:val="72"/>
        </w:rPr>
        <w:t>ME 7120 FEA</w:t>
      </w:r>
    </w:p>
    <w:p w:rsidR="00C813BC" w:rsidRPr="00C813BC" w:rsidRDefault="00C813BC" w:rsidP="00C813BC">
      <w:pPr>
        <w:jc w:val="center"/>
        <w:rPr>
          <w:sz w:val="72"/>
        </w:rPr>
      </w:pPr>
      <w:r w:rsidRPr="00C813BC">
        <w:rPr>
          <w:sz w:val="72"/>
        </w:rPr>
        <w:t>Project 3</w:t>
      </w:r>
    </w:p>
    <w:p w:rsidR="00C813BC" w:rsidRPr="00C813BC" w:rsidRDefault="00C813BC" w:rsidP="00C813BC">
      <w:pPr>
        <w:jc w:val="center"/>
        <w:rPr>
          <w:sz w:val="72"/>
        </w:rPr>
      </w:pPr>
      <w:r w:rsidRPr="00C813BC">
        <w:rPr>
          <w:sz w:val="72"/>
        </w:rPr>
        <w:t>Newmark Method</w:t>
      </w:r>
    </w:p>
    <w:p w:rsidR="00C813BC" w:rsidRDefault="00C813BC" w:rsidP="00C813BC">
      <w:pPr>
        <w:jc w:val="center"/>
      </w:pPr>
    </w:p>
    <w:p w:rsidR="00C813BC" w:rsidRPr="00C813BC" w:rsidRDefault="00C813BC" w:rsidP="00C813BC">
      <w:pPr>
        <w:jc w:val="center"/>
        <w:rPr>
          <w:sz w:val="28"/>
        </w:rPr>
      </w:pPr>
      <w:proofErr w:type="gramStart"/>
      <w:r w:rsidRPr="00C813BC">
        <w:rPr>
          <w:sz w:val="28"/>
        </w:rPr>
        <w:t>by</w:t>
      </w:r>
      <w:proofErr w:type="gramEnd"/>
    </w:p>
    <w:p w:rsidR="00C813BC" w:rsidRDefault="00C813BC" w:rsidP="00C813BC">
      <w:pPr>
        <w:jc w:val="center"/>
      </w:pPr>
    </w:p>
    <w:p w:rsidR="00C813BC" w:rsidRDefault="00C813BC" w:rsidP="00C813BC">
      <w:pPr>
        <w:jc w:val="center"/>
        <w:rPr>
          <w:sz w:val="48"/>
        </w:rPr>
      </w:pPr>
      <w:proofErr w:type="spellStart"/>
      <w:r w:rsidRPr="00C813BC">
        <w:rPr>
          <w:sz w:val="48"/>
        </w:rPr>
        <w:t>Admir</w:t>
      </w:r>
      <w:proofErr w:type="spellEnd"/>
      <w:r w:rsidRPr="00C813BC">
        <w:rPr>
          <w:sz w:val="48"/>
        </w:rPr>
        <w:t xml:space="preserve"> </w:t>
      </w:r>
      <w:proofErr w:type="spellStart"/>
      <w:r w:rsidRPr="00C813BC">
        <w:rPr>
          <w:sz w:val="48"/>
        </w:rPr>
        <w:t>Makas</w:t>
      </w:r>
      <w:proofErr w:type="spellEnd"/>
    </w:p>
    <w:p w:rsidR="004B1243" w:rsidRDefault="004B1243" w:rsidP="00C813BC">
      <w:pPr>
        <w:jc w:val="center"/>
        <w:rPr>
          <w:sz w:val="48"/>
        </w:rPr>
      </w:pPr>
    </w:p>
    <w:p w:rsidR="004B1243" w:rsidRDefault="004B1243" w:rsidP="00C813BC">
      <w:pPr>
        <w:jc w:val="center"/>
        <w:rPr>
          <w:sz w:val="48"/>
        </w:rPr>
      </w:pPr>
    </w:p>
    <w:p w:rsidR="004B1243" w:rsidRDefault="004B1243" w:rsidP="00C813BC">
      <w:pPr>
        <w:jc w:val="center"/>
        <w:rPr>
          <w:sz w:val="48"/>
        </w:rPr>
      </w:pPr>
    </w:p>
    <w:p w:rsidR="004B1243" w:rsidRDefault="004B1243" w:rsidP="00C813BC">
      <w:pPr>
        <w:jc w:val="center"/>
        <w:rPr>
          <w:sz w:val="48"/>
        </w:rPr>
      </w:pPr>
    </w:p>
    <w:p w:rsidR="004B1243" w:rsidRPr="002C43F1" w:rsidRDefault="004F5848" w:rsidP="004B1243">
      <w:pPr>
        <w:rPr>
          <w:sz w:val="36"/>
        </w:rPr>
      </w:pPr>
      <w:r w:rsidRPr="002C43F1">
        <w:rPr>
          <w:sz w:val="36"/>
        </w:rPr>
        <w:lastRenderedPageBreak/>
        <w:t>Introduction</w:t>
      </w:r>
    </w:p>
    <w:p w:rsidR="004F5848" w:rsidRDefault="002C43F1" w:rsidP="004B1243">
      <w:pPr>
        <w:rPr>
          <w:sz w:val="24"/>
        </w:rPr>
      </w:pPr>
      <w:r>
        <w:rPr>
          <w:sz w:val="24"/>
        </w:rPr>
        <w:t xml:space="preserve">This report discusses the results obtained from the use of Newmark method in order to solve </w:t>
      </w:r>
      <w:proofErr w:type="gramStart"/>
      <w:r>
        <w:rPr>
          <w:sz w:val="24"/>
        </w:rPr>
        <w:t>a</w:t>
      </w:r>
      <w:proofErr w:type="gramEnd"/>
      <w:r>
        <w:rPr>
          <w:sz w:val="24"/>
        </w:rPr>
        <w:t xml:space="preserve"> L-beam</w:t>
      </w:r>
      <w:r w:rsidR="00682D00">
        <w:rPr>
          <w:sz w:val="24"/>
        </w:rPr>
        <w:t xml:space="preserve"> problem</w:t>
      </w:r>
      <w:r>
        <w:rPr>
          <w:sz w:val="24"/>
        </w:rPr>
        <w:t xml:space="preserve"> that is loaded by an impulse with a magnitude of 100,000 N. Figure 1 shows the definition of the structure.</w:t>
      </w:r>
    </w:p>
    <w:p w:rsidR="002C43F1" w:rsidRDefault="002C43F1" w:rsidP="002C43F1">
      <w:pPr>
        <w:spacing w:after="0"/>
        <w:jc w:val="center"/>
        <w:rPr>
          <w:sz w:val="24"/>
        </w:rPr>
      </w:pPr>
      <w:r>
        <w:rPr>
          <w:noProof/>
          <w:sz w:val="24"/>
        </w:rPr>
        <w:drawing>
          <wp:inline distT="0" distB="0" distL="0" distR="0">
            <wp:extent cx="2200275" cy="309562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00275" cy="3095625"/>
                    </a:xfrm>
                    <a:prstGeom prst="rect">
                      <a:avLst/>
                    </a:prstGeom>
                    <a:noFill/>
                    <a:ln>
                      <a:solidFill>
                        <a:schemeClr val="tx1"/>
                      </a:solidFill>
                    </a:ln>
                  </pic:spPr>
                </pic:pic>
              </a:graphicData>
            </a:graphic>
          </wp:inline>
        </w:drawing>
      </w:r>
    </w:p>
    <w:p w:rsidR="002C43F1" w:rsidRDefault="002C43F1" w:rsidP="002C43F1">
      <w:pPr>
        <w:jc w:val="center"/>
        <w:rPr>
          <w:sz w:val="24"/>
        </w:rPr>
      </w:pPr>
      <w:r w:rsidRPr="00A951F3">
        <w:rPr>
          <w:b/>
          <w:sz w:val="24"/>
        </w:rPr>
        <w:t>Figure 1</w:t>
      </w:r>
      <w:r>
        <w:rPr>
          <w:sz w:val="24"/>
        </w:rPr>
        <w:t>: Structure and material properties.</w:t>
      </w:r>
    </w:p>
    <w:p w:rsidR="002C43F1" w:rsidRDefault="002C43F1" w:rsidP="002C43F1">
      <w:pPr>
        <w:rPr>
          <w:sz w:val="24"/>
        </w:rPr>
      </w:pPr>
      <w:r>
        <w:rPr>
          <w:sz w:val="24"/>
        </w:rPr>
        <w:t xml:space="preserve">The structure is comprised of 51 nodes and 50 2-D beam elements, each of length 1m. The </w:t>
      </w:r>
      <w:r w:rsidR="00A60638">
        <w:rPr>
          <w:sz w:val="24"/>
        </w:rPr>
        <w:t>structure is pinned at location A and simply supported at location C such that displacement in y-dir. is not allowed. The structure is loaded by an impulse load shown in Figure 2.</w:t>
      </w:r>
    </w:p>
    <w:p w:rsidR="00682D00" w:rsidRDefault="00682D00" w:rsidP="00682D00">
      <w:pPr>
        <w:spacing w:after="0"/>
        <w:jc w:val="center"/>
        <w:rPr>
          <w:sz w:val="24"/>
        </w:rPr>
      </w:pPr>
      <w:r>
        <w:rPr>
          <w:noProof/>
        </w:rPr>
        <w:drawing>
          <wp:inline distT="0" distB="0" distL="0" distR="0" wp14:anchorId="1387B40D" wp14:editId="7C5A91C1">
            <wp:extent cx="3762375" cy="20574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62375" cy="2057400"/>
                    </a:xfrm>
                    <a:prstGeom prst="rect">
                      <a:avLst/>
                    </a:prstGeom>
                    <a:ln>
                      <a:solidFill>
                        <a:schemeClr val="tx1"/>
                      </a:solidFill>
                    </a:ln>
                  </pic:spPr>
                </pic:pic>
              </a:graphicData>
            </a:graphic>
          </wp:inline>
        </w:drawing>
      </w:r>
    </w:p>
    <w:p w:rsidR="00682D00" w:rsidRDefault="00682D00" w:rsidP="00682D00">
      <w:pPr>
        <w:jc w:val="center"/>
        <w:rPr>
          <w:sz w:val="24"/>
        </w:rPr>
      </w:pPr>
      <w:r w:rsidRPr="00682D00">
        <w:rPr>
          <w:b/>
          <w:sz w:val="24"/>
        </w:rPr>
        <w:t>Figure 2</w:t>
      </w:r>
      <w:r>
        <w:rPr>
          <w:sz w:val="24"/>
        </w:rPr>
        <w:t>: Loading profile for the structure.</w:t>
      </w:r>
    </w:p>
    <w:p w:rsidR="00A7445B" w:rsidRDefault="0012696C" w:rsidP="00682D00">
      <w:pPr>
        <w:rPr>
          <w:sz w:val="24"/>
        </w:rPr>
      </w:pPr>
      <w:r>
        <w:rPr>
          <w:sz w:val="24"/>
        </w:rPr>
        <w:t>Stiffness</w:t>
      </w:r>
      <w:r w:rsidR="001E149D">
        <w:rPr>
          <w:sz w:val="24"/>
        </w:rPr>
        <w:t xml:space="preserve"> (</w:t>
      </w:r>
      <w:r w:rsidR="001E149D" w:rsidRPr="001E149D">
        <w:rPr>
          <w:b/>
          <w:sz w:val="24"/>
        </w:rPr>
        <w:t>K</w:t>
      </w:r>
      <w:r w:rsidR="001E149D">
        <w:rPr>
          <w:sz w:val="24"/>
        </w:rPr>
        <w:t>)</w:t>
      </w:r>
      <w:r>
        <w:rPr>
          <w:sz w:val="24"/>
        </w:rPr>
        <w:t xml:space="preserve"> and mass </w:t>
      </w:r>
      <w:r w:rsidR="001E149D">
        <w:rPr>
          <w:sz w:val="24"/>
        </w:rPr>
        <w:t>(</w:t>
      </w:r>
      <w:r w:rsidR="001E149D" w:rsidRPr="001E149D">
        <w:rPr>
          <w:b/>
          <w:sz w:val="24"/>
        </w:rPr>
        <w:t>M</w:t>
      </w:r>
      <w:r w:rsidR="001E149D">
        <w:rPr>
          <w:sz w:val="24"/>
        </w:rPr>
        <w:t xml:space="preserve">) </w:t>
      </w:r>
      <w:r>
        <w:rPr>
          <w:sz w:val="24"/>
        </w:rPr>
        <w:t xml:space="preserve">matrices are generated using 2 nodded beam element from project #1. Since the problem defined in Figure 1 is in 2-D space the unnecessary degrees of freedom, </w:t>
      </w:r>
      <w:r>
        <w:rPr>
          <w:sz w:val="24"/>
        </w:rPr>
        <w:lastRenderedPageBreak/>
        <w:t>which is in this case are displacement in y-</w:t>
      </w:r>
      <w:proofErr w:type="spellStart"/>
      <w:r>
        <w:rPr>
          <w:sz w:val="24"/>
        </w:rPr>
        <w:t>dir</w:t>
      </w:r>
      <w:proofErr w:type="spellEnd"/>
      <w:r>
        <w:rPr>
          <w:sz w:val="24"/>
        </w:rPr>
        <w:t xml:space="preserve"> and rotations about x and z, were removed. Therefore, </w:t>
      </w:r>
      <w:r w:rsidR="001E149D">
        <w:rPr>
          <w:sz w:val="24"/>
        </w:rPr>
        <w:t xml:space="preserve">the size of </w:t>
      </w:r>
      <w:r w:rsidR="001E149D" w:rsidRPr="001E149D">
        <w:rPr>
          <w:b/>
          <w:sz w:val="24"/>
        </w:rPr>
        <w:t>K</w:t>
      </w:r>
      <w:r w:rsidR="001E149D">
        <w:rPr>
          <w:sz w:val="24"/>
        </w:rPr>
        <w:t xml:space="preserve"> and </w:t>
      </w:r>
      <w:r w:rsidR="001E149D" w:rsidRPr="001E149D">
        <w:rPr>
          <w:b/>
          <w:sz w:val="24"/>
        </w:rPr>
        <w:t>M</w:t>
      </w:r>
      <w:r w:rsidR="001E149D">
        <w:rPr>
          <w:sz w:val="24"/>
        </w:rPr>
        <w:t xml:space="preserve"> matrices is reduced from 306X306 to 150X150. </w:t>
      </w:r>
      <w:r w:rsidR="00A7445B">
        <w:rPr>
          <w:sz w:val="24"/>
        </w:rPr>
        <w:t>The degrees of freedom that were kept are displacements in x and z directions along with rotation about y-axis for each node of the system.</w:t>
      </w:r>
    </w:p>
    <w:p w:rsidR="00A7445B" w:rsidRPr="00A7445B" w:rsidRDefault="00A7445B" w:rsidP="00682D00">
      <w:pPr>
        <w:rPr>
          <w:sz w:val="36"/>
        </w:rPr>
      </w:pPr>
      <w:r w:rsidRPr="00A7445B">
        <w:rPr>
          <w:sz w:val="36"/>
        </w:rPr>
        <w:t>Model Validation</w:t>
      </w:r>
    </w:p>
    <w:p w:rsidR="001F6E0A" w:rsidRDefault="00A7445B" w:rsidP="00682D00">
      <w:pPr>
        <w:rPr>
          <w:sz w:val="24"/>
        </w:rPr>
      </w:pPr>
      <w:r>
        <w:rPr>
          <w:sz w:val="24"/>
        </w:rPr>
        <w:t xml:space="preserve">The reduced matrices were used to calculate the first 5 natural frequencies along </w:t>
      </w:r>
      <w:r w:rsidR="001F6E0A">
        <w:rPr>
          <w:sz w:val="24"/>
        </w:rPr>
        <w:t>with their respective mode shapes. This was done in order to compare the results found in the FEA book by Cook. Results from the book can be seen in Figure 3.</w:t>
      </w:r>
    </w:p>
    <w:p w:rsidR="001F6E0A" w:rsidRDefault="001F6E0A" w:rsidP="001F6E0A">
      <w:pPr>
        <w:spacing w:after="0"/>
        <w:rPr>
          <w:sz w:val="24"/>
        </w:rPr>
      </w:pPr>
      <w:r>
        <w:rPr>
          <w:noProof/>
        </w:rPr>
        <w:drawing>
          <wp:inline distT="0" distB="0" distL="0" distR="0" wp14:anchorId="7D5F14DF" wp14:editId="14FBC0D7">
            <wp:extent cx="5410200" cy="147637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0200" cy="1476375"/>
                    </a:xfrm>
                    <a:prstGeom prst="rect">
                      <a:avLst/>
                    </a:prstGeom>
                    <a:ln>
                      <a:solidFill>
                        <a:schemeClr val="tx1"/>
                      </a:solidFill>
                    </a:ln>
                  </pic:spPr>
                </pic:pic>
              </a:graphicData>
            </a:graphic>
          </wp:inline>
        </w:drawing>
      </w:r>
    </w:p>
    <w:p w:rsidR="001F6E0A" w:rsidRDefault="001F6E0A" w:rsidP="001F6E0A">
      <w:pPr>
        <w:jc w:val="center"/>
        <w:rPr>
          <w:sz w:val="24"/>
        </w:rPr>
      </w:pPr>
      <w:r w:rsidRPr="001F6E0A">
        <w:rPr>
          <w:b/>
          <w:sz w:val="24"/>
        </w:rPr>
        <w:t>Figure 3</w:t>
      </w:r>
      <w:r>
        <w:rPr>
          <w:sz w:val="24"/>
        </w:rPr>
        <w:t>: First 5 modes from the L-bracket (Book Results)</w:t>
      </w:r>
    </w:p>
    <w:p w:rsidR="00247223" w:rsidRDefault="00247223" w:rsidP="00247223">
      <w:pPr>
        <w:rPr>
          <w:sz w:val="24"/>
        </w:rPr>
      </w:pPr>
      <w:r>
        <w:rPr>
          <w:sz w:val="24"/>
        </w:rPr>
        <w:t xml:space="preserve">Results from the reduced matrices can be seen in Figure 4. It can be seen that the </w:t>
      </w:r>
      <w:r w:rsidR="00A87540">
        <w:rPr>
          <w:sz w:val="24"/>
        </w:rPr>
        <w:t xml:space="preserve">results obtained from the reduced </w:t>
      </w:r>
      <w:r w:rsidR="00A87540" w:rsidRPr="00A87540">
        <w:rPr>
          <w:b/>
          <w:sz w:val="24"/>
        </w:rPr>
        <w:t>M</w:t>
      </w:r>
      <w:r w:rsidR="00A87540">
        <w:rPr>
          <w:sz w:val="24"/>
        </w:rPr>
        <w:t xml:space="preserve"> and </w:t>
      </w:r>
      <w:r w:rsidR="00A87540" w:rsidRPr="00A87540">
        <w:rPr>
          <w:b/>
          <w:sz w:val="24"/>
        </w:rPr>
        <w:t>K</w:t>
      </w:r>
      <w:r w:rsidR="00A87540">
        <w:rPr>
          <w:sz w:val="24"/>
        </w:rPr>
        <w:t xml:space="preserve"> closely match the book results. Based on this evaluation it was deemed sufficient to use the derived model for the dynamic loading analysis based on the loading profile seen in Figure 2.</w:t>
      </w:r>
    </w:p>
    <w:p w:rsidR="00247223" w:rsidRDefault="00247223" w:rsidP="00247223">
      <w:pPr>
        <w:spacing w:after="0"/>
        <w:rPr>
          <w:sz w:val="24"/>
        </w:rPr>
      </w:pPr>
      <w:r>
        <w:rPr>
          <w:noProof/>
        </w:rPr>
        <w:lastRenderedPageBreak/>
        <w:drawing>
          <wp:inline distT="0" distB="0" distL="0" distR="0" wp14:anchorId="420E8218" wp14:editId="4419D65D">
            <wp:extent cx="5886450" cy="6938718"/>
            <wp:effectExtent l="19050" t="19050" r="1905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91572" cy="6944755"/>
                    </a:xfrm>
                    <a:prstGeom prst="rect">
                      <a:avLst/>
                    </a:prstGeom>
                    <a:ln>
                      <a:solidFill>
                        <a:schemeClr val="tx1"/>
                      </a:solidFill>
                    </a:ln>
                  </pic:spPr>
                </pic:pic>
              </a:graphicData>
            </a:graphic>
          </wp:inline>
        </w:drawing>
      </w:r>
    </w:p>
    <w:p w:rsidR="00247223" w:rsidRDefault="00247223" w:rsidP="00247223">
      <w:pPr>
        <w:jc w:val="center"/>
        <w:rPr>
          <w:sz w:val="24"/>
        </w:rPr>
      </w:pPr>
      <w:r w:rsidRPr="00A87540">
        <w:rPr>
          <w:b/>
          <w:sz w:val="24"/>
        </w:rPr>
        <w:t>Figure 4</w:t>
      </w:r>
      <w:r>
        <w:rPr>
          <w:sz w:val="24"/>
        </w:rPr>
        <w:t xml:space="preserve">: </w:t>
      </w:r>
      <w:r w:rsidR="00A87540">
        <w:rPr>
          <w:sz w:val="24"/>
        </w:rPr>
        <w:t>First 5 modes for</w:t>
      </w:r>
      <w:r>
        <w:rPr>
          <w:sz w:val="24"/>
        </w:rPr>
        <w:t xml:space="preserve"> the L-bracket (</w:t>
      </w:r>
      <w:r w:rsidR="00A87540">
        <w:rPr>
          <w:sz w:val="24"/>
        </w:rPr>
        <w:t xml:space="preserve">reduced </w:t>
      </w:r>
      <w:r w:rsidR="00A87540" w:rsidRPr="00A87540">
        <w:rPr>
          <w:b/>
          <w:sz w:val="24"/>
        </w:rPr>
        <w:t>M</w:t>
      </w:r>
      <w:r w:rsidR="00A87540">
        <w:rPr>
          <w:sz w:val="24"/>
        </w:rPr>
        <w:t xml:space="preserve"> and </w:t>
      </w:r>
      <w:r w:rsidR="00A87540" w:rsidRPr="00A87540">
        <w:rPr>
          <w:b/>
          <w:sz w:val="24"/>
        </w:rPr>
        <w:t>K</w:t>
      </w:r>
      <w:r>
        <w:rPr>
          <w:sz w:val="24"/>
        </w:rPr>
        <w:t>)</w:t>
      </w:r>
    </w:p>
    <w:p w:rsidR="00FD0E7B" w:rsidRDefault="00FD0E7B" w:rsidP="00247223">
      <w:pPr>
        <w:jc w:val="center"/>
        <w:rPr>
          <w:sz w:val="24"/>
        </w:rPr>
      </w:pPr>
    </w:p>
    <w:p w:rsidR="00FD0E7B" w:rsidRDefault="00FD0E7B" w:rsidP="00247223">
      <w:pPr>
        <w:jc w:val="center"/>
        <w:rPr>
          <w:sz w:val="24"/>
        </w:rPr>
      </w:pPr>
    </w:p>
    <w:p w:rsidR="00FD0E7B" w:rsidRDefault="00FD0E7B" w:rsidP="00247223">
      <w:pPr>
        <w:jc w:val="center"/>
        <w:rPr>
          <w:sz w:val="24"/>
        </w:rPr>
      </w:pPr>
    </w:p>
    <w:p w:rsidR="00FD0E7B" w:rsidRDefault="00FD0E7B" w:rsidP="00FD0E7B">
      <w:pPr>
        <w:rPr>
          <w:sz w:val="36"/>
        </w:rPr>
      </w:pPr>
      <w:r w:rsidRPr="00FD0E7B">
        <w:rPr>
          <w:sz w:val="36"/>
        </w:rPr>
        <w:lastRenderedPageBreak/>
        <w:t>Dynamic Loading Analysis</w:t>
      </w:r>
    </w:p>
    <w:p w:rsidR="00FD0E7B" w:rsidRDefault="00A22121" w:rsidP="00FD0E7B">
      <w:pPr>
        <w:rPr>
          <w:sz w:val="24"/>
          <w:szCs w:val="24"/>
        </w:rPr>
      </w:pPr>
      <w:r>
        <w:rPr>
          <w:sz w:val="24"/>
          <w:szCs w:val="24"/>
        </w:rPr>
        <w:t xml:space="preserve">For the dynamic analysis Newmark method was used. Table 1 shows the 5 different </w:t>
      </w:r>
      <w:r w:rsidR="00012924">
        <w:rPr>
          <w:sz w:val="24"/>
          <w:szCs w:val="24"/>
        </w:rPr>
        <w:t xml:space="preserve">combinations of β </w:t>
      </w:r>
      <w:r w:rsidR="001A7CDA">
        <w:rPr>
          <w:sz w:val="24"/>
          <w:szCs w:val="24"/>
        </w:rPr>
        <w:t xml:space="preserve">and </w:t>
      </w:r>
      <w:r w:rsidR="00012924">
        <w:rPr>
          <w:sz w:val="24"/>
          <w:szCs w:val="24"/>
        </w:rPr>
        <w:t>γ that yield different methods.</w:t>
      </w:r>
    </w:p>
    <w:p w:rsidR="00012924" w:rsidRDefault="002631DE" w:rsidP="002631DE">
      <w:pPr>
        <w:spacing w:after="0"/>
        <w:jc w:val="center"/>
        <w:rPr>
          <w:sz w:val="24"/>
          <w:szCs w:val="24"/>
        </w:rPr>
      </w:pPr>
      <w:r>
        <w:rPr>
          <w:noProof/>
          <w:sz w:val="24"/>
          <w:szCs w:val="24"/>
        </w:rPr>
        <w:drawing>
          <wp:inline distT="0" distB="0" distL="0" distR="0" wp14:anchorId="1250A011">
            <wp:extent cx="4097020" cy="28714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7020" cy="2871470"/>
                    </a:xfrm>
                    <a:prstGeom prst="rect">
                      <a:avLst/>
                    </a:prstGeom>
                    <a:noFill/>
                  </pic:spPr>
                </pic:pic>
              </a:graphicData>
            </a:graphic>
          </wp:inline>
        </w:drawing>
      </w:r>
    </w:p>
    <w:p w:rsidR="002631DE" w:rsidRDefault="002631DE" w:rsidP="002631DE">
      <w:pPr>
        <w:jc w:val="center"/>
        <w:rPr>
          <w:sz w:val="24"/>
          <w:szCs w:val="24"/>
        </w:rPr>
      </w:pPr>
      <w:r w:rsidRPr="002631DE">
        <w:rPr>
          <w:b/>
          <w:sz w:val="24"/>
          <w:szCs w:val="24"/>
        </w:rPr>
        <w:t>Table 1</w:t>
      </w:r>
      <w:r>
        <w:rPr>
          <w:sz w:val="24"/>
          <w:szCs w:val="24"/>
        </w:rPr>
        <w:t xml:space="preserve">: </w:t>
      </w:r>
      <w:r w:rsidR="00AB73F8">
        <w:rPr>
          <w:sz w:val="24"/>
          <w:szCs w:val="24"/>
        </w:rPr>
        <w:t>List of methods used to calculate structure response.</w:t>
      </w:r>
    </w:p>
    <w:p w:rsidR="00AB73F8" w:rsidRDefault="001A7CDA" w:rsidP="00AB73F8">
      <w:pPr>
        <w:rPr>
          <w:sz w:val="24"/>
          <w:szCs w:val="24"/>
        </w:rPr>
      </w:pPr>
      <w:r>
        <w:rPr>
          <w:sz w:val="24"/>
          <w:szCs w:val="24"/>
        </w:rPr>
        <w:t xml:space="preserve">This combination of </w:t>
      </w:r>
      <w:r>
        <w:rPr>
          <w:sz w:val="24"/>
          <w:szCs w:val="24"/>
        </w:rPr>
        <w:t>β and γ</w:t>
      </w:r>
      <w:r>
        <w:rPr>
          <w:sz w:val="24"/>
          <w:szCs w:val="24"/>
        </w:rPr>
        <w:t xml:space="preserve"> was implemented in the Newmark method that is outlines in the diagram below. The implementation did not use any damping.</w:t>
      </w:r>
    </w:p>
    <w:p w:rsidR="001A7CDA" w:rsidRPr="00FD0E7B" w:rsidRDefault="001A7CDA" w:rsidP="001A7CDA">
      <w:pPr>
        <w:jc w:val="center"/>
        <w:rPr>
          <w:sz w:val="24"/>
          <w:szCs w:val="24"/>
        </w:rPr>
      </w:pPr>
      <w:r>
        <w:rPr>
          <w:noProof/>
        </w:rPr>
        <w:drawing>
          <wp:inline distT="0" distB="0" distL="0" distR="0" wp14:anchorId="7655F23B" wp14:editId="15866A07">
            <wp:extent cx="3973919" cy="3067050"/>
            <wp:effectExtent l="19050" t="19050" r="2667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8978" cy="3078672"/>
                    </a:xfrm>
                    <a:prstGeom prst="rect">
                      <a:avLst/>
                    </a:prstGeom>
                    <a:ln>
                      <a:solidFill>
                        <a:schemeClr val="tx1"/>
                      </a:solidFill>
                    </a:ln>
                  </pic:spPr>
                </pic:pic>
              </a:graphicData>
            </a:graphic>
          </wp:inline>
        </w:drawing>
      </w:r>
      <w:bookmarkStart w:id="0" w:name="_GoBack"/>
      <w:bookmarkEnd w:id="0"/>
    </w:p>
    <w:sectPr w:rsidR="001A7CDA" w:rsidRPr="00FD0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3BC"/>
    <w:rsid w:val="00012924"/>
    <w:rsid w:val="0012696C"/>
    <w:rsid w:val="001A7CDA"/>
    <w:rsid w:val="001E149D"/>
    <w:rsid w:val="001F6E0A"/>
    <w:rsid w:val="00247223"/>
    <w:rsid w:val="002631DE"/>
    <w:rsid w:val="002C43F1"/>
    <w:rsid w:val="004B1243"/>
    <w:rsid w:val="004F5848"/>
    <w:rsid w:val="00682D00"/>
    <w:rsid w:val="009D32AA"/>
    <w:rsid w:val="00A22121"/>
    <w:rsid w:val="00A60638"/>
    <w:rsid w:val="00A7445B"/>
    <w:rsid w:val="00A87540"/>
    <w:rsid w:val="00A951F3"/>
    <w:rsid w:val="00AB73F8"/>
    <w:rsid w:val="00B92ADD"/>
    <w:rsid w:val="00C813BC"/>
    <w:rsid w:val="00FD0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7BE1E6-A209-4293-BAFB-85D50E171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427839">
      <w:bodyDiv w:val="1"/>
      <w:marLeft w:val="0"/>
      <w:marRight w:val="0"/>
      <w:marTop w:val="0"/>
      <w:marBottom w:val="0"/>
      <w:divBdr>
        <w:top w:val="none" w:sz="0" w:space="0" w:color="auto"/>
        <w:left w:val="none" w:sz="0" w:space="0" w:color="auto"/>
        <w:bottom w:val="none" w:sz="0" w:space="0" w:color="auto"/>
        <w:right w:val="none" w:sz="0" w:space="0" w:color="auto"/>
      </w:divBdr>
    </w:div>
    <w:div w:id="193790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WSUadm</dc:creator>
  <cp:keywords/>
  <dc:description/>
  <cp:lastModifiedBy>WSUadm</cp:lastModifiedBy>
  <cp:revision>13</cp:revision>
  <dcterms:created xsi:type="dcterms:W3CDTF">2016-07-26T18:47:00Z</dcterms:created>
  <dcterms:modified xsi:type="dcterms:W3CDTF">2016-07-26T20:33:00Z</dcterms:modified>
</cp:coreProperties>
</file>