
<file path=[Content_Types].xml><?xml version="1.0" encoding="utf-8"?>
<Types xmlns="http://schemas.openxmlformats.org/package/2006/content-types">
  <Default ContentType="image/jpeg" Extension="jpg"/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alse" stroked="false" o:spt="75.0" o:preferrelative="true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alseValue" gradientshapeok="true"/>
            <o:lock v:ext="edit" aspectratio="true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CIRCUITI E MISURE ELETTRONICHE</w:t>
        <w:tab/>
        <w:t xml:space="preserve">Mercoledì 15 luglio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Prof. Cesare Svelto</w:t>
        <w:tab/>
        <w:t xml:space="preserve">AA 2019/2020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Tempo a disposizione 1 h 05 m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Aula Internet ore 15.30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COGNOME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stampatello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: ______________________________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stampatello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Laurea-anno: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FIS-2°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Matr. e firma  __ __ __ __ __ __ 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Punteggi:    pre-compito=13    Es.1=10    Es.2=10              TOT=33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N.B.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Occorre saper svolgere tutti gli esercizi per poter consegnare il compito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(con un esercizio mancante o sostanzialmente non svolto non si deve consegnare). </w:t>
      </w: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single"/>
          <w:vertAlign w:val="baseline"/>
          <w:rtl w:val="0"/>
        </w:rPr>
        <w:t xml:space="preserve">I compiti consegnati e corretti che evidenzieranno un risultato gravemente insufficiente, o comunque gravi lacune nella preparazione, potranno comportare il salto dell’appello successivo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. Occorre motivare tutte le risposte date e indicare i passaggi risolutivi.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L’ordine logico-formale e la buona leggibilità delle risposte fornite costituiranno elemento di valutazione.</w:t>
      </w:r>
    </w:p>
    <w:p w:rsidR="00000000" w:rsidDel="00000000" w:rsidP="00000000" w:rsidRDefault="00000000" w:rsidRPr="00000000" w14:paraId="0000000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SOLUZIONI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(35 min)</w:t>
        <w:tab/>
        <w:t xml:space="preserve">Esercizio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56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</w:t>
        <w:tab/>
        <w:t xml:space="preserve">Una DAQ (8 canali single-ended, s.e., e 4 differenziali) usa un ADC ad approssimazioni successive con dinamica +/-1 V, 12 bit, e massima velocità 200 kSa/s. E’ anche disponibile un singolo attenuatore d’ingresso (utilizzabile per un solo segnale) con attenuazione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=0.2 V/V. Si vogliono acquisire i seguenti segnali: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  <w:tab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 termocoppia con dinamica [-40 °C, +400 °C] e 10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V/K con uscita nulla a 273 K;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  <w:tab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segnale audio Right +/-3 V;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  <w:tab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segnale audio Left +/-3 V;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  <w:tab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tensione di rete europea attenuata di 80 dB;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  <w:tab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tensione di un oscillatore sinusoidale +/-1 V a 0.5 MHz;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Motivare quanti e quali segnali è possibile acquisire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(in modalità s.e. o differenziale)?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1B)</w:t>
        <w:tab/>
        <w:t xml:space="preserve">Scegliere per i segnali acquisiti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guadagni ottimali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 i disponibili: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(dB)=[0,+/-6,+/-10,+/-20,+/-40].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Di quanto risultano sovracampionati i segnali audio?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(“sovracampionati” rispetto alla minima frequenza di campionamento necessaria)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1D)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Quanto vale l’incertezza, assoluta e relativa, sull’ampiezza di picco dei segnali audio acquisiti?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1E)</w:t>
        <w:tab/>
        <w:t xml:space="preserve">Se l’ADC ha un rumore interno pari a 375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(valore efficace), quanti sono i suoi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bit equivalenti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1F)</w:t>
        <w:tab/>
        <w:t xml:space="preserve">Sul segnale a termocoppia si aggiunge un rumore di 375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(valore efficace). Considerando l’ADC “ideale”,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 quanti bit equivalenti avviene l’acquisizione del segnale di temperatura sul canale e segnale 1?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Osserviamo immediatamente che il segnale 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tensione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sinusoidale con frequenza 0.5 MHz, ha una frequenza troppo elevata per essere acquisito con la scheda DAQ (anche utilizzando un solo canale potremmo campionare a 200 kSa/s mentre la frequenza di 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richiederebbe un campionamento ad almeno 1 MSa/s). Dunque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non può essere acquisito correttamente: è troppo veloce per l’ADC impiegato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segnale di temperatura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presumibilmente lento e con banda inferiore all’hertz (o al più una decina di hertz)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non pone limiti di velocità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l’acquisizione.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 segnali audio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 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hanno banda limitata a 20 kHz (limite della banda audio) e dunque, per rispettare il teorema del campionamento, devono essere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acquisiti ad almeno 40 kSa/s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segnale di rete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è una sinusoide a 50 Hz e dunque, per rispettare il teorema del campionamento, deve essere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acquisito ad almeno 100 Sa/s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E’ possibile acquisire 4 segnali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 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anche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tutti in modalità differenziale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(cosa spesso necessaria per il segnale della termocoppia e operazione che in generale limita il rumore acquisito) adottando una frequenza di campionamento di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almeno 40 kSa/s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La scheda, in acquisizione a 4 canali, consente una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massima frequenza di acquisizione di 200 kSa/s/4=50 kSa/s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ciascun segnale acquisito.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guadagni disponibili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usando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unità lineari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sono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[0.01, 0.1, 0.316, 0.5, 1, 2, 3.16, 10, 100] V/V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il segnale 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 temperature misurabili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=[-40, +40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 °C e tenuto conto della sensibilità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V/K, si deduce un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 tensioni acquisibili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che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=[-0.4, +4] mV. Dividendo la dinamica dell’ADC per la dinamica del segnale d’ingresso si ottiene il guadagno teorico ideale: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1,ideale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 V)/(4 mV)=250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48 dB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dunque conviene scegliere il guadagno disponibile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=100=40 dB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i segnali 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ancora una volta dividendo la dinamica dell’ADC per la dinamica del segnale d’ingresso si ottiene il guadagno teorico ideale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2e3,ideale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 V)/(3 V)=0.333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9.5 dB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dunque occorre scegliere il guadagno disponibile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=0.316=10 dB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il segnale 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la tensione di rete in Europa ha valore efficace 220 V e dunque valore di picco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311 V, che una volta attenuata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80 dB (fattore 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in ampiezza)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diviene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31.1 mV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Per fare rientrare la dinamica d’oscillazione (±0.0311 V) entro la dinamica dell’ADC occorre un guadagno teorico ideale: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4,ideale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 V)/(31.1 mV)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30 dB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dunque occorre scegliere il guadagno disponibile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=10=20 dB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 nessun caso risulta opportuno/conveniente impiegare l’attenuatore esterno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=0.2 V/V).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Stante che per campionare correttamente i segnali audio occorrono almeno 40 kSa/s, come già visto, se si adotta la massima frequenza di campionamento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50 kSa/s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il sovracampionamento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SC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Sa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Sa,MIN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=50/40=1.25 (o +25 %)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Se invece si campionasse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 soli 40 kSa/s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che è il minimo necessario, il sovracampionamento per i segnali audio sarebbe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MIN,SC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Sa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Sa,MIN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=10/40=1 (o +0 %)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quantizzazione e risoluzione dimensionale dell’ADC è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=(2 V)/4096=488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0.5 mV. Stante il guadagno scelto,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=0.316, la risoluzione dimensionale sui segnali audio d’ingresso è 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1.54 mV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L’incertezza assoluta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0" style="width:23pt;height:17pt;" type="#_x0000_t75">
            <v:imagedata r:id="rId1" o:title=""/>
          </v:shape>
          <o:OLEObject DrawAspect="Content" r:id="rId2" ObjectID="_1656265173" ProgID="Equation.3" ShapeID="_x0000_s0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446 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e l’incertezza relativa al valore di picco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p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(446 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V)/(3 V)=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149×10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150 ppm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1.5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1E)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l’ADC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sz w:val="24"/>
          <w:szCs w:val="24"/>
        </w:rPr>
        <w:pict>
          <v:shape id="_x0000_s1" style="width:23pt;height:17pt;" type="#_x0000_t75">
            <v:imagedata r:id="rId3" o:title=""/>
          </v:shape>
          <o:OLEObject DrawAspect="Content" r:id="rId4" ObjectID="_1656265173" ProgID="Equation.3" ShapeID="_x0000_s1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141 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dunque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/12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1.99×10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Il rumore aggiunto nell’acquisizione (“aggiunto” rispetto alla sola quantizzazione), e qui dovuto esclusivamente al rumore interno dell’ADC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N,INT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=375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è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N,INT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N,INT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1.41×10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Per il calcolo dei bit equivalenti possiamo usare la formula che li esprime in funzione del rapporto tra rumore aggiunto e rumore di quantizzazione: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0.5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(1+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120.5·log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(1+7)=121.5=10.5 bit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(si perdono 1.5 Bit)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1.5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1F)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rumore aggiunto sul segnale di tensione della termocoppia è proprio uguale al rumore interno dell’ADC (esclusa la quantizzazione). Dobbiamo però osservare che il segnale della termocoppia, e così pure il suo rumore, sono amplificati del guadagno applicato al canale 1,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=100, e pertanto il rumore aggiunto risultante è determinato da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N,EXT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N,EXT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1.41×10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Calcolando nuovamente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bit equivalenti otteniamo: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0.5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(1+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120.5·log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(1+70800)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128=4 bit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(si perdono 8 Bit)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103"/>
          <w:tab w:val="right" w:leader="none" w:pos="1049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(30 min)</w:t>
        <w:tab/>
        <w:t xml:space="preserve">Esercizio 2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</w:t>
        <w:tab/>
        <w:t xml:space="preserve">Si consideri il circuito mostrato in figura. I parametri circuitali sono: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krad/s,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=8sin(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 V,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=12cos(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 V,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=7cos(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 A,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mH. Vogliamo ricavare 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nel condensatore come indicata in figura.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443345" cy="2188845"/>
            <wp:effectExtent b="0" l="0" r="0" t="0"/>
            <wp:docPr id="103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3345" cy="2188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  <w:tab/>
        <w:t xml:space="preserve">Ricavare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fasore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corrispondente alla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  <w:tab/>
        <w:t xml:space="preserve">Esprimere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forma analitica e numerica.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  <w:tab/>
        <w:t xml:space="preserve">Esprimere in formule e calcolare numericamente tutte 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potenze [complessa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 attiva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 reattiva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 nel 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assorbite dal condensatore.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2D)</w:t>
        <w:tab/>
        <w:t xml:space="preserve">Con riferimento a un circuito resistivo in regime costante,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enunciare il teorema di Millman indicando la formula corrispondente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Conviene passare al dominio dei fasori, dove avremo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8 V,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=7 A,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=12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Per analizzare il circuito possiamo trasformare i due generatori di tensione (con resistenza serie) nei corrispondenti generatori di corrente (con resistenza parallelo). In questo modo si evidenzia una rete binodale tra i nodi A e B, come mostrato nella figura seguente, ed è possibile ricavare la tensione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(come fasore) impiegando il teorema di Millman. Nota la tensione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applicata al condensatore C, si ricava poi la corrente cercata: prima il suo fasore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poi l’and    amento nel 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169660" cy="1729105"/>
            <wp:effectExtent b="0" l="0" r="0" t="0"/>
            <wp:docPr id="103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9660" cy="1729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3035300</wp:posOffset>
                </wp:positionH>
                <wp:positionV relativeFrom="paragraph">
                  <wp:posOffset>609600</wp:posOffset>
                </wp:positionV>
                <wp:extent cx="0" cy="15875"/>
                <wp:effectExtent b="0" l="0" r="0" t="0"/>
                <wp:wrapNone/>
                <wp:docPr id="103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66943" y="3780000"/>
                          <a:ext cx="15811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58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3035300</wp:posOffset>
                </wp:positionH>
                <wp:positionV relativeFrom="paragraph">
                  <wp:posOffset>609600</wp:posOffset>
                </wp:positionV>
                <wp:extent cx="0" cy="15875"/>
                <wp:effectExtent b="0" l="0" r="0" t="0"/>
                <wp:wrapNone/>
                <wp:docPr id="103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5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698500</wp:posOffset>
                </wp:positionV>
                <wp:extent cx="10795" cy="15875"/>
                <wp:effectExtent b="0" l="0" r="0" t="0"/>
                <wp:wrapNone/>
                <wp:docPr id="1030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272023" y="3774603"/>
                          <a:ext cx="147955" cy="1079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58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698500</wp:posOffset>
                </wp:positionV>
                <wp:extent cx="10795" cy="15875"/>
                <wp:effectExtent b="0" l="0" r="0" t="0"/>
                <wp:wrapNone/>
                <wp:docPr id="1030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95" cy="15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5753100</wp:posOffset>
                </wp:positionH>
                <wp:positionV relativeFrom="paragraph">
                  <wp:posOffset>469900</wp:posOffset>
                </wp:positionV>
                <wp:extent cx="0" cy="15875"/>
                <wp:effectExtent b="0" l="0" r="0" t="0"/>
                <wp:wrapNone/>
                <wp:docPr id="103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66943" y="3780000"/>
                          <a:ext cx="15811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58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5753100</wp:posOffset>
                </wp:positionH>
                <wp:positionV relativeFrom="paragraph">
                  <wp:posOffset>469900</wp:posOffset>
                </wp:positionV>
                <wp:extent cx="0" cy="15875"/>
                <wp:effectExtent b="0" l="0" r="0" t="0"/>
                <wp:wrapNone/>
                <wp:docPr id="103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5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904615" cy="1494790"/>
            <wp:effectExtent b="0" l="0" r="0" t="0"/>
            <wp:docPr id="103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4615" cy="1494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2032000</wp:posOffset>
                </wp:positionH>
                <wp:positionV relativeFrom="paragraph">
                  <wp:posOffset>546100</wp:posOffset>
                </wp:positionV>
                <wp:extent cx="0" cy="175260"/>
                <wp:effectExtent b="0" l="0" r="0" t="0"/>
                <wp:wrapNone/>
                <wp:docPr id="1032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346000" y="3692370"/>
                          <a:ext cx="0" cy="17526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lg" w="lg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2032000</wp:posOffset>
                </wp:positionH>
                <wp:positionV relativeFrom="paragraph">
                  <wp:posOffset>546100</wp:posOffset>
                </wp:positionV>
                <wp:extent cx="0" cy="175260"/>
                <wp:effectExtent b="0" l="0" r="0" t="0"/>
                <wp:wrapNone/>
                <wp:docPr id="103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75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TOT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8/412/2+7=(1-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2) 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Applicando il teorema di Millman alla rete binodale tra i nodi A e B, otteniamo la tensione: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pict>
          <v:shape id="_x0000_s2" style="width:298pt;height:38pt;" type="#_x0000_t75">
            <v:imagedata r:id="rId5" o:title=""/>
          </v:shape>
          <o:OLEObject DrawAspect="Content" r:id="rId6" ObjectID="_1684388102" ProgID="Equation.DSMT4" ShapeID="_x0000_s2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=(1.6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1.2) V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dove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sono le correnti di corto circuito dei singoli rami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 ammettenze dei rami.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fasore della corrente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(0.6+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0.8) A=1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0.9273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 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modulo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⏐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 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fase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=0.9273 rad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nel tempo è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⏐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1·cos(1000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+0.9273) A=1·cos(1000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+53°) 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potenza complessa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ai capi di un bipolo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=(1/2)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utilizzando, come sopra, i fasori di tensione e corrente con i valori di picco mentre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i valori efficaci. Abbiamo utilizzato i valori di picco, più utili per ricavare direttamente l’ampiezza di picco della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Per il condensatore la potenza complessa è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=(1/2)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=(1/2)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=0.5·(1.6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1.2)(0.6-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0.8)=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1) VA=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 cui si ricava immediatamente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potenza attiva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 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giustamente nulla come deve essere per un condensatore che è un elemento reattivo, 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potenza reattiva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 VAR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L’angolo di fase della potenza complessa è 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1.57 rad=90 °, come previsto per un carico capacitivo dove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Indicando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 valori massimi, o di picco, di corrente e tensione sul bipolo, la potenza (oscillante o istantanea) in funzione del tempo,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risulta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pict>
          <v:shape id="_x0000_s3" style="width:239pt;height:31pt;" type="#_x0000_t75">
            <v:imagedata r:id="rId7" o:title=""/>
          </v:shape>
          <o:OLEObject DrawAspect="Content" r:id="rId8" ObjectID="_1655802411" ProgID="Equation.DSMT4" ShapeID="_x0000_s3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4" style="width:394pt;height:33pt;" type="#_x0000_t75">
            <v:imagedata r:id="rId9" o:title=""/>
          </v:shape>
          <o:OLEObject DrawAspect="Content" r:id="rId10" ObjectID="_1655803373" ProgID="Equation.DSMT4" ShapeID="_x0000_s4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      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+ 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⏐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⏐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cos(2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θ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θ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1·cos(2000t+16°)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dove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la potenza media (o attiva)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⏐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la potenza apparente: qui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)=1 VA.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Quindi, la potenza istantanea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=1·cos(2000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+0.92730.6435) VA=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1·cos(2000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+0.2838) 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essendo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θ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=0.6435. Oppure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)=1·sin(2000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+1.8546) 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naturalmente -0.2838piu1.8546=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Per la risposta di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Teoria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 vedi Libri, Lucidi, e Appunti del Corso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sectPr>
      <w:footerReference r:id="rId21" w:type="default"/>
      <w:footerReference r:id="rId22" w:type="even"/>
      <w:pgSz w:h="16838" w:w="11906" w:orient="portrait"/>
      <w:pgMar w:bottom="680" w:top="425" w:left="680" w:right="68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mic Sans MS"/>
  <w:font w:name="Symbol"/>
  <w:font w:name="Book Antiqua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56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pag.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t-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e">
    <w:name w:val="Normale"/>
    <w:next w:val="Norma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Titolo1">
    <w:name w:val="Titolo 1"/>
    <w:basedOn w:val="Normale"/>
    <w:next w:val="Normale"/>
    <w:autoRedefine w:val="0"/>
    <w:hidden w:val="0"/>
    <w:qFormat w:val="0"/>
    <w:pPr>
      <w:keepNext w:val="1"/>
      <w:tabs>
        <w:tab w:val="left" w:leader="none" w:pos="426"/>
      </w:tabs>
      <w:suppressAutoHyphens w:val="1"/>
      <w:spacing w:line="360" w:lineRule="auto"/>
      <w:ind w:leftChars="-1" w:rightChars="0" w:firstLineChars="-1"/>
      <w:jc w:val="center"/>
      <w:textDirection w:val="btLr"/>
      <w:textAlignment w:val="top"/>
      <w:outlineLvl w:val="0"/>
    </w:pPr>
    <w:rPr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Titolo5">
    <w:name w:val="Titolo 5"/>
    <w:basedOn w:val="Normale"/>
    <w:next w:val="Normale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4"/>
    </w:pPr>
    <w:rPr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it-IT" w:val="it-IT"/>
    </w:rPr>
  </w:style>
  <w:style w:type="character" w:styleId="Car.predefinitoparagrafo">
    <w:name w:val="Car. predefinito paragrafo"/>
    <w:next w:val="Car.predefinitoparagraf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lanormale">
    <w:name w:val="Tabella normale"/>
    <w:next w:val="Tabellanorma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lanormale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>
    <w:name w:val="Nessun elenco"/>
    <w:next w:val="Nessunelenc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umeroelenco">
    <w:name w:val="Numero elenco"/>
    <w:basedOn w:val="Normale"/>
    <w:next w:val="Numeroelenco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2">
    <w:name w:val="Numero elenco 2"/>
    <w:basedOn w:val="Normale"/>
    <w:next w:val="Numeroelenco2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3">
    <w:name w:val="Numero elenco 3"/>
    <w:basedOn w:val="Normale"/>
    <w:next w:val="Numeroelenco3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4">
    <w:name w:val="Numero elenco 4"/>
    <w:basedOn w:val="Normale"/>
    <w:next w:val="Numeroelenco4"/>
    <w:autoRedefine w:val="0"/>
    <w:hidden w:val="0"/>
    <w:qFormat w:val="0"/>
    <w:pPr>
      <w:numPr>
        <w:ilvl w:val="0"/>
        <w:numId w:val="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5">
    <w:name w:val="Numero elenco 5"/>
    <w:basedOn w:val="Normale"/>
    <w:next w:val="Numeroelenco5"/>
    <w:autoRedefine w:val="0"/>
    <w:hidden w:val="0"/>
    <w:qFormat w:val="0"/>
    <w:pPr>
      <w:numPr>
        <w:ilvl w:val="0"/>
        <w:numId w:val="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">
    <w:name w:val="Punto elenco"/>
    <w:basedOn w:val="Normale"/>
    <w:next w:val="Puntoelenco"/>
    <w:autoRedefine w:val="0"/>
    <w:hidden w:val="0"/>
    <w:qFormat w:val="0"/>
    <w:pPr>
      <w:numPr>
        <w:ilvl w:val="0"/>
        <w:numId w:val="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2">
    <w:name w:val="Punto elenco 2"/>
    <w:basedOn w:val="Normale"/>
    <w:next w:val="Puntoelenco2"/>
    <w:autoRedefine w:val="0"/>
    <w:hidden w:val="0"/>
    <w:qFormat w:val="0"/>
    <w:pPr>
      <w:numPr>
        <w:ilvl w:val="0"/>
        <w:numId w:val="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3">
    <w:name w:val="Punto elenco 3"/>
    <w:basedOn w:val="Normale"/>
    <w:next w:val="Puntoelenco3"/>
    <w:autoRedefine w:val="0"/>
    <w:hidden w:val="0"/>
    <w:qFormat w:val="0"/>
    <w:pPr>
      <w:numPr>
        <w:ilvl w:val="0"/>
        <w:numId w:val="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4">
    <w:name w:val="Punto elenco 4"/>
    <w:basedOn w:val="Normale"/>
    <w:next w:val="Puntoelenco4"/>
    <w:autoRedefine w:val="0"/>
    <w:hidden w:val="0"/>
    <w:qFormat w:val="0"/>
    <w:pPr>
      <w:numPr>
        <w:ilvl w:val="0"/>
        <w:numId w:val="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5">
    <w:name w:val="Punto elenco 5"/>
    <w:basedOn w:val="Normale"/>
    <w:next w:val="Puntoelenco5"/>
    <w:autoRedefine w:val="0"/>
    <w:hidden w:val="0"/>
    <w:qFormat w:val="0"/>
    <w:pPr>
      <w:numPr>
        <w:ilvl w:val="0"/>
        <w:numId w:val="1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Corpotesto">
    <w:name w:val="Corpo testo"/>
    <w:basedOn w:val="Normale"/>
    <w:next w:val="Corpo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Testocommento">
    <w:name w:val="Testo commento"/>
    <w:basedOn w:val="Normale"/>
    <w:next w:val="Testocom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ièdipagina">
    <w:name w:val="Piè di pagina"/>
    <w:basedOn w:val="Normale"/>
    <w:next w:val="Pièdipagina"/>
    <w:autoRedefine w:val="0"/>
    <w:hidden w:val="0"/>
    <w:qFormat w:val="0"/>
    <w:pPr>
      <w:tabs>
        <w:tab w:val="center" w:leader="none" w:pos="4819"/>
        <w:tab w:val="right" w:leader="none" w:pos="96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character" w:styleId="Numeropagina">
    <w:name w:val="Numero pagina"/>
    <w:basedOn w:val="Car.predefinitoparagrafo"/>
    <w:next w:val="Numeropa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Corpodeltesto3">
    <w:name w:val="Corpo del testo 3"/>
    <w:basedOn w:val="Normale"/>
    <w:next w:val="Corpodeltesto3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16"/>
      <w:szCs w:val="16"/>
      <w:effect w:val="none"/>
      <w:vertAlign w:val="baseline"/>
      <w:cs w:val="0"/>
      <w:em w:val="none"/>
      <w:lang w:bidi="ar-SA" w:eastAsia="it-IT" w:val="it-IT"/>
    </w:rPr>
  </w:style>
  <w:style w:type="paragraph" w:styleId="Normale(Web)">
    <w:name w:val="Normale (Web)"/>
    <w:basedOn w:val="Normale"/>
    <w:next w:val="Normale(Web)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character" w:styleId="Rimandonotaapièdipagina">
    <w:name w:val="Rimando nota a piè di pagina"/>
    <w:next w:val="Rimandonotaapièdipagina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estonotaapièdipagina">
    <w:name w:val="Testo nota a piè di pagina"/>
    <w:basedOn w:val="Normale"/>
    <w:next w:val="Testonotaapièdipagin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Cs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Intestazione">
    <w:name w:val="Intestazione"/>
    <w:basedOn w:val="Normale"/>
    <w:next w:val="Intestazione"/>
    <w:autoRedefine w:val="0"/>
    <w:hidden w:val="0"/>
    <w:qFormat w:val="0"/>
    <w:pPr>
      <w:tabs>
        <w:tab w:val="center" w:leader="none" w:pos="4819"/>
        <w:tab w:val="right" w:leader="none" w:pos="96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Testofumetto">
    <w:name w:val="Testo fumetto"/>
    <w:basedOn w:val="Normale"/>
    <w:next w:val="Testofumet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it-IT" w:val="it-IT"/>
    </w:rPr>
  </w:style>
  <w:style w:type="character" w:styleId="CorpotestoCarattere">
    <w:name w:val="Corpo testo Carattere"/>
    <w:next w:val="CorpotestoCarattere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 w:bidi="ar-SA" w:eastAsia="it-IT" w:val="it-IT"/>
    </w:rPr>
  </w:style>
  <w:style w:type="paragraph" w:styleId="Corpodeltesto20">
    <w:name w:val="Corpo del testo 2"/>
    <w:basedOn w:val="Normale"/>
    <w:next w:val="Corpodeltesto20"/>
    <w:autoRedefine w:val="0"/>
    <w:hidden w:val="0"/>
    <w:qFormat w:val="0"/>
    <w:pPr>
      <w:suppressAutoHyphens w:val="1"/>
      <w:spacing w:after="120" w:line="48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Rientrocorpodeltesto2">
    <w:name w:val="Rientro corpo del testo 2"/>
    <w:basedOn w:val="Normale"/>
    <w:next w:val="Rientrocorpodeltesto2"/>
    <w:autoRedefine w:val="0"/>
    <w:hidden w:val="0"/>
    <w:qFormat w:val="0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1">
    <w:name w:val="1"/>
    <w:basedOn w:val="Normale"/>
    <w:next w:val="Corpo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CorpodeltestoCarattere">
    <w:name w:val="Corpo del testo Carattere"/>
    <w:next w:val="CorpodeltestoCarattere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Corpodeltesto1">
    <w:name w:val="Corpo del testo1"/>
    <w:basedOn w:val="Normale"/>
    <w:next w:val="Corpodeltesto1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table" w:styleId="Grigliatabella">
    <w:name w:val="Griglia tabella"/>
    <w:basedOn w:val="Tabellanormale"/>
    <w:next w:val="Grigliatabel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Grigliatabel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itolo5Carattere">
    <w:name w:val="Titolo 5 Carattere"/>
    <w:next w:val="Titolo5Carattere"/>
    <w:autoRedefine w:val="0"/>
    <w:hidden w:val="0"/>
    <w:qFormat w:val="0"/>
    <w:rPr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paragraph" w:styleId="Corpodeltesto2">
    <w:name w:val="Corpo del testo2"/>
    <w:basedOn w:val="Normale"/>
    <w:next w:val="Corpodeltesto2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Rimandocommento">
    <w:name w:val="Rimando commento"/>
    <w:next w:val="Rimandocomment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Soggettocommento">
    <w:name w:val="Soggetto commento"/>
    <w:basedOn w:val="Testocommento"/>
    <w:next w:val="Testocom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TestocommentoCarattere">
    <w:name w:val="Testo commento Carattere"/>
    <w:next w:val="TestocommentoCaratte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it-IT" w:val="it-IT"/>
    </w:rPr>
  </w:style>
  <w:style w:type="character" w:styleId="SoggettocommentoCarattere">
    <w:name w:val="Soggetto commento Carattere"/>
    <w:next w:val="SoggettocommentoCarattere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 w:eastAsia="it-IT" w:val="it-IT"/>
    </w:rPr>
  </w:style>
  <w:style w:type="paragraph" w:styleId="Corpodeltesto">
    <w:name w:val="Corpo del testo"/>
    <w:basedOn w:val="Normale"/>
    <w:next w:val="Corpodel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theme" Target="theme/theme1.xml"/><Relationship Id="rId22" Type="http://schemas.openxmlformats.org/officeDocument/2006/relationships/footer" Target="footer1.xml"/><Relationship Id="rId10" Type="http://schemas.openxmlformats.org/officeDocument/2006/relationships/oleObject" Target="embeddings/oleObject1.bin"/><Relationship Id="rId21" Type="http://schemas.openxmlformats.org/officeDocument/2006/relationships/footer" Target="footer2.xml"/><Relationship Id="rId13" Type="http://schemas.openxmlformats.org/officeDocument/2006/relationships/fontTable" Target="fontTable.xml"/><Relationship Id="rId12" Type="http://schemas.openxmlformats.org/officeDocument/2006/relationships/settings" Target="settings.xml"/><Relationship Id="rId1" Type="http://schemas.openxmlformats.org/officeDocument/2006/relationships/image" Target="media/image5.wmf"/><Relationship Id="rId2" Type="http://schemas.openxmlformats.org/officeDocument/2006/relationships/oleObject" Target="embeddings/oleObject5.bin"/><Relationship Id="rId3" Type="http://schemas.openxmlformats.org/officeDocument/2006/relationships/image" Target="media/image5.wmf"/><Relationship Id="rId4" Type="http://schemas.openxmlformats.org/officeDocument/2006/relationships/oleObject" Target="embeddings/oleObject2.bin"/><Relationship Id="rId15" Type="http://schemas.openxmlformats.org/officeDocument/2006/relationships/styles" Target="styles.xml"/><Relationship Id="rId9" Type="http://schemas.openxmlformats.org/officeDocument/2006/relationships/image" Target="media/image1.wmf"/><Relationship Id="rId14" Type="http://schemas.openxmlformats.org/officeDocument/2006/relationships/numbering" Target="numbering.xml"/><Relationship Id="rId17" Type="http://schemas.openxmlformats.org/officeDocument/2006/relationships/image" Target="media/image8.jpg"/><Relationship Id="rId16" Type="http://schemas.openxmlformats.org/officeDocument/2006/relationships/customXml" Target="../customXML/item1.xml"/><Relationship Id="rId19" Type="http://schemas.openxmlformats.org/officeDocument/2006/relationships/image" Target="media/image10.png"/><Relationship Id="rId5" Type="http://schemas.openxmlformats.org/officeDocument/2006/relationships/image" Target="media/image4.wmf"/><Relationship Id="rId18" Type="http://schemas.openxmlformats.org/officeDocument/2006/relationships/image" Target="media/image6.png"/><Relationship Id="rId6" Type="http://schemas.openxmlformats.org/officeDocument/2006/relationships/oleObject" Target="embeddings/oleObject4.bin"/><Relationship Id="rId7" Type="http://schemas.openxmlformats.org/officeDocument/2006/relationships/image" Target="media/image3.wmf"/><Relationship Id="rId8" Type="http://schemas.openxmlformats.org/officeDocument/2006/relationships/oleObject" Target="embeddings/oleObject3.bin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BookAntiqua-regular.ttf"/><Relationship Id="rId13" Type="http://schemas.openxmlformats.org/officeDocument/2006/relationships/font" Target="fonts/BookAntiqua-italic.ttf"/><Relationship Id="rId12" Type="http://schemas.openxmlformats.org/officeDocument/2006/relationships/font" Target="fonts/BookAntiqua-bold.ttf"/><Relationship Id="rId1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5Yv/LHEbA6hy7MtX9wRcOoplBg==">CgMxLjA4AHIhMWZMZHR6Ujg4d0FLMEswS0I2R0lMX2sybVBORVNFUFFk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2021-06-17T07:25:00Z</dcterms:created>
  <dc:creator>Cesare Svelto</dc:creator>
</cp:coreProperties>
</file>