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Lunedì 21 giugno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2020/2021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 h 45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[(20PC)]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[25+20+35+25]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3.03 e ZOOM 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11.30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pre-compito=12             Es.1=5    Es.2=5   Es.3=6   Es.4=6          TOT=34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1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Il circuito elettrico mostrato in figura si trova in regime stazionario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con l’interruttore aperto.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l’interruttore viene chiuso. I parametri del circuito sono: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V,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=90 mH.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Illustrando e commentando i passaggi analitici svolti, e le ragioni dell’operato, si ricavino il valore iniziale e il valore finale della corrente nell’induttore: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sdt>
        <w:sdtPr>
          <w:id w:val="-166982624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(∞)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Ricavare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 del circuito.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Scrivere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 e numerica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Si calcoli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nell’induttore ai tempi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150465</wp:posOffset>
            </wp:positionV>
            <wp:extent cx="4658360" cy="1887855"/>
            <wp:effectExtent b="0" l="0" r="0" t="0"/>
            <wp:wrapNone/>
            <wp:docPr id="106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 b="3559" l="2500" r="1939" t="1863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887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Indichiamo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resistenza serie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=2+5+3=10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Inoltre, possiamo indicare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circuito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e dunque anche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è mostrato in figura (l’induttore a regime è cortocircuitato).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41345" cy="1077595"/>
            <wp:effectExtent b="0" l="0" r="0" t="0"/>
            <wp:docPr id="106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077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L’induttore è attraversato dalla corrente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 che il generatore di tensione fa scorrere nella serie delle resistenze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anche pari 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iniziale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nell’induttore dato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 essendo la corrente variabile di stato per l’induttore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99pt;height:34pt;" type="#_x0000_t75">
            <v:imagedata r:id="rId1" o:title=""/>
          </v:shape>
          <o:OLEObject DrawAspect="Content" r:id="rId2" ObjectID="_1679065823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Ricaviamo adesso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di regime,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fare ciò cortocircuitiamo ancora l’induttore (corto circuito in regime costante) ma consideriamo questa volta che con l’interruttore chiuso la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presente in parallelo alla serie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circuito nella condizione di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sdt>
        <w:sdtPr>
          <w:id w:val="-192634995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∞ è mostrato nella figura seguente.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39695" cy="1058545"/>
            <wp:effectExtent b="0" l="0" r="0" t="0"/>
            <wp:docPr id="106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105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15410" cy="1068070"/>
            <wp:effectExtent b="0" l="0" r="0" t="0"/>
            <wp:docPr id="106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1068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quanto mostrato in figura (ed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ripartisce in maniera uguale nelle due resistenze in parallelo), è abbastanza semplice calcolare la corrente che scorre in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nell’induttore: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sdt>
        <w:sdtPr>
          <w:id w:val="875914557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(∞)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" style="width:181pt;height:36pt;" type="#_x0000_t75">
            <v:imagedata r:id="rId3" o:title=""/>
          </v:shape>
          <o:OLEObject DrawAspect="Content" r:id="rId4" ObjectID="_1684594583" ProgID="Equation.3" ShapeID="_x0000_s1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0.667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Ricaviamo il valore 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circuito. Per fare ciò dobbiamo ricavare la 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vista ai capi dell’induttore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Cortocircuitiamo i generatori di tensione e togliamo dal circuito l’induttore per valutare la resistenza vista ai suoi capi. Il circuito equivalente ottenuto è mostrato in figura: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54605" cy="1087755"/>
            <wp:effectExtent b="0" l="0" r="0" t="0"/>
            <wp:docPr id="106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087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=5+10=15 Ω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=6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L’espressione prima analitica e poi numerica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nell’induttore 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)]exp(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(0.333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-166.77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+0.667)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[con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secondi]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grafico quantitativo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nell’induttore è mostrato nella figura seguente.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33370" cy="1572895"/>
            <wp:effectExtent b="0" l="0" r="0" t="0"/>
            <wp:docPr id="106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157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L’energia immagazzinata nell’induttore percorso da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valore dell’induttanza. Nel nostro caso, dobbiamo calcolare la corrente per i tre tempi richiesti e di conseguenza le tre energie corrispondenti.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" style="width:103pt;height:31pt;" type="#_x0000_t75">
            <v:imagedata r:id="rId5" o:title=""/>
          </v:shape>
          <o:OLEObject DrawAspect="Content" r:id="rId6" ObjectID="_1679071338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 45.0 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(3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2"/>
          <w:szCs w:val="12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154pt;height:37pt;" type="#_x0000_t75">
            <v:imagedata r:id="rId7" o:title=""/>
          </v:shape>
          <o:OLEObject DrawAspect="Content" r:id="rId8" ObjectID="_1679071637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21.2 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(10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sdt>
        <w:sdtPr>
          <w:id w:val="183001147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(∞)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118pt;height:37pt;" type="#_x0000_t75">
            <v:imagedata r:id="rId9" o:title=""/>
          </v:shape>
          <o:OLEObject DrawAspect="Content" r:id="rId10" ObjectID="_1679071560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 20.2 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Tot=10 sottopunti: moltiplicare per 10/10 per avere il massimo di 10/10=100 % del valore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min)</w:t>
        <w:tab/>
        <w:t xml:space="preserve">Esercizio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Il circuito rappresentato in figura opera in regime alternato sinusoidale alla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Hz.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Ridisegnare il circuito nel 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ricavare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circuito equivalente di Norton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la parte a sinistra dei morsetti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Ricavare, sia in forma analitica che numerica,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Trasformare il generatore di Norton nel suo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equivalente di Thevenin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complessa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trasferita dal generatore di tensione al carico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(parte a destra dei morsetti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circuito originale).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Ricavare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impedenza di adattamento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aggiungere in serie al carico originale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ottenere un completo adattamento del carico al generatore (e dunque per ottenere il massimo trasferimento di potenza dal generatore di Thevenin al nuovo carico adattato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leftMargin">
                  <wp:posOffset>4906963</wp:posOffset>
                </wp:positionH>
                <wp:positionV relativeFrom="topMargin">
                  <wp:posOffset>2544763</wp:posOffset>
                </wp:positionV>
                <wp:extent cx="1644650" cy="1379220"/>
                <wp:effectExtent b="0" l="0" r="0" t="0"/>
                <wp:wrapNone/>
                <wp:docPr id="105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28438" y="3095153"/>
                          <a:ext cx="1635125" cy="1369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)=300cos(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 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)=2sin(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 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=33 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=50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subscript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=2 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subscript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=2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leftMargin">
                  <wp:posOffset>4906963</wp:posOffset>
                </wp:positionH>
                <wp:positionV relativeFrom="topMargin">
                  <wp:posOffset>2544763</wp:posOffset>
                </wp:positionV>
                <wp:extent cx="1644650" cy="1379220"/>
                <wp:effectExtent b="0" l="0" r="0" t="0"/>
                <wp:wrapNone/>
                <wp:docPr id="105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5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650" cy="1379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67"/>
          <w:tab w:val="center" w:leader="none" w:pos="5103"/>
          <w:tab w:val="right" w:leader="none" w:pos="10490"/>
        </w:tabs>
        <w:spacing w:line="288" w:lineRule="auto"/>
        <w:ind w:left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3059113" cy="1598689"/>
            <wp:effectExtent b="0" l="0" r="0" t="0"/>
            <wp:docPr id="105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 b="7575" l="0" r="0" t="-7575"/>
                    <a:stretch>
                      <a:fillRect/>
                    </a:stretch>
                  </pic:blipFill>
                  <pic:spPr>
                    <a:xfrm>
                      <a:off x="0" y="0"/>
                      <a:ext cx="3059113" cy="1598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circuito trasformato nel 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mostrato nella figura seguente. La pulsazione angolare di lavoro è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6.2832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50=314.164 rad/s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314 rad/s,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=300 V,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 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(50-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96.4575)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628.32)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66390" cy="1598295"/>
            <wp:effectExtent b="0" l="0" r="0" t="0"/>
            <wp:docPr id="106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598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il circuito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equivalente di Norton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può sostituire il generatore di tensione con il suo generatore di corrente equivalente e poi sommare i due generatori di corrente posti in parallelo: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020820" cy="1461135"/>
            <wp:effectExtent b="0" l="0" r="0" t="0"/>
            <wp:docPr id="106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146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(1.2707+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0.4515)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(50-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96.4575)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passare dalla rappresentazione di Norton a quella di Thevenin, per il circuito alla sinistra dei morsetti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basta trasformare il generatore (da corrente a tensione) alla sinistra del carico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512945" cy="1598295"/>
            <wp:effectExtent b="0" l="0" r="0" t="0"/>
            <wp:docPr id="106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1598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736600</wp:posOffset>
                </wp:positionV>
                <wp:extent cx="142875" cy="125095"/>
                <wp:effectExtent b="0" l="0" r="0" t="0"/>
                <wp:wrapNone/>
                <wp:docPr id="10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7650" y="3713275"/>
                          <a:ext cx="142875" cy="125095"/>
                          <a:chOff x="5267650" y="3713275"/>
                          <a:chExt cx="156700" cy="133450"/>
                        </a:xfrm>
                      </wpg:grpSpPr>
                      <wpg:grpSp>
                        <wpg:cNvGrpSpPr/>
                        <wpg:grpSpPr>
                          <a:xfrm>
                            <a:off x="5274495" y="3717320"/>
                            <a:ext cx="143010" cy="125360"/>
                            <a:chOff x="0" y="0"/>
                            <a:chExt cx="143010" cy="12536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43000" cy="12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0" y="0"/>
                              <a:ext cx="73660" cy="12509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69338" y="0"/>
                              <a:ext cx="73672" cy="1253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736600</wp:posOffset>
                </wp:positionV>
                <wp:extent cx="142875" cy="125095"/>
                <wp:effectExtent b="0" l="0" r="0" t="0"/>
                <wp:wrapNone/>
                <wp:docPr id="105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5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" cy="125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Naturalmente,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=(107.08-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100)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964575)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Ricaviamo 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)=(0.1667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0.2176) A erogata dal generatore sul carico e la tensione sul carico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)=(136.42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105.20) V. Quindi, la potenza complessa sul carico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(0.0752 W+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23.6165) VA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75 mW+23.6 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il fattore (1/2) è presente perché i fasori di corrente e tensione qui usati rappresentano i valori di picco e non quelli efficace per le corrispondenti grandezze sinusoidali.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Oppure ricavando una sola grandezza, corrente o tensione sul carico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può più rapidamente calcolare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=(0.0752 W+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23.6165) VA.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regime alternato sinusoidale, per un generatore di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GEN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impedenza 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GEN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 condizione di adattamento per il massimo trasferimento di potenza dal generatore al carico prevede di lavorare con un carico adattato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GEN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dunque con un carico che abbia impedenza pari al complesso coniugato dell’impedenza del generatore (stessa parte reale,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GEN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parte immaginaria uguale e opposta, reattanza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GEN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 il carico d’origine non è adattato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nel nostro caso in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possibile ottenere l’adattamento aggiungendo in serie al carico una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ulteriore impedenza di adattamento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tale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dunque occorre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=(48-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531.86)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Naturalmente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dove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sono indicate, rispettivamente e come da convenzioni in uso, la resistenza (parte reale) e la reattanza (parte immaginaria) di un’impedenza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complessa. Lavorando con resistenze positive, per ottenere l’adattamento occorrerà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ovvero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caso considerato,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GEN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96.4575)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628.32)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ricava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=502=48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=+96.4575628.32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531.86 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(&lt;0 e dunque carico “capacitivo”). In particolare, la reattanza richiesta è ottenibile con un condensatore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tale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di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impedenza aggiuntiva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ottenere l’adattamento è ottenibile dalla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combinazione in serie di una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=48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una capacità di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Tot=10 sottopunti: moltiplicare per 10/10 per avere il massimo di 10/10=100 % del valore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</w:t>
        <w:tab/>
        <w:t xml:space="preserve">Esercizio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Un fascio di elettroni in moto con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lungo un asse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entra in una regione spaziale dove è presente un campo magnetico uniforme e costante con induzione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direzione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un elettrone viene misurata con un cronometro digitale che impiega un orologio interno al quarzo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MHz) con 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 livelli di conteggio, osservando l’attraversamento di 2 indicatori di posizione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posti sull’asse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una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prima dell’ingresso nella regione spaziale interessata dal campo magnetico (vedi figura). Per il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l’elettrone impiega a percorrere la distanza tra i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cronometro conta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conteggi. La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 i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stata misurata mediante conteggio di frange interferometriche (un conteggio ad ogni lunghezza d’onda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della radiazione monocromatica emessa da un laser a Nd:YAG con frequenza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=281.759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829 THz, nota con incertezza trascurabile. Si contano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699 frange. L’induzione magnetica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conosciuta attraverso misure ripetute che hanno fornito i valori numerici di lettura (in femtotesla): 7.500, 5.100, 7.000, 6.500, 4.600, 6.800, 6.000, 6.000, 4.500.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969"/>
          <w:tab w:val="left" w:leader="none" w:pos="708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ALTRI DATI: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969"/>
          <w:tab w:val="left" w:leader="none" w:pos="4678"/>
          <w:tab w:val="left" w:leader="none" w:pos="708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massa dell’elettrone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=9.109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88(72)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kg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969"/>
          <w:tab w:val="left" w:leader="none" w:pos="4678"/>
          <w:tab w:val="left" w:leader="none" w:pos="708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carica dell’elettrone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=1.602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62(esatta)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969"/>
          <w:tab w:val="left" w:leader="none" w:pos="4678"/>
          <w:tab w:val="left" w:leader="none" w:pos="708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velocità della luce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=299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458(esatta) m/s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Si calcolino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dinamica, risoluzione dimensionale, e accuratezza del cronometro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digitale.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esprimendola con l’incertezza in notazione concisa e a due cifre.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dell’elettrone e la sua incertezza relativa e assoluta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Si scriva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relazione funzionale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l’accelerazione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direzione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quando l’elettrone attraversa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Si ricavi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la sua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assoluta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Confrontare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57545" cy="1522095"/>
            <wp:effectExtent b="0" l="0" r="0" t="0"/>
            <wp:docPr id="106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522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297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N.B. Si ricorda l’espressone della forza di Lorentz che agisce su una particella con carica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moto con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all’interno  in un campo magnetico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</w:rPr>
        <w:pict>
          <v:shape id="_x0000_s5" style="width:55pt;height:19pt;" type="#_x0000_t75">
            <v:imagedata r:id="rId11" o:title=""/>
          </v:shape>
          <o:OLEObject DrawAspect="Content" r:id="rId12" ObjectID="_1403275690" ProgID="Equation.3" ShapeID="_x0000_s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3F)</w:t>
        <w:tab/>
        <w:t xml:space="preserve">In un altro esperimento, un elettrone inizialmente fermo è stato accelerato da una differenza di potenziale costante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misurata con un voltmetro integratore a doppia rampa, digitale e ideale), e ha acquisito una energia cinetica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=0.32 aJ nota con incertezza trascurabile. Il voltmetro ha dinamica ±5 V e 12 bit.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esprima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 l’incertezza tipo in notazione compatta e con due cifre.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 che il cronometro digitale opera con un periodo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 ns e con un massimo numero di conteggi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000, il tempo massimo conteggiabile/misurabile e quindi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dinamica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misura sarà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una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risoluzione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=100 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 quantizzazione,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24pt;height:17pt;" type="#_x0000_t75">
            <v:imagedata r:id="rId13" o:title=""/>
          </v:shape>
          <o:OLEObject DrawAspect="Content" r:id="rId14" ObjectID="_1149453031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=29 ns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30 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 nella misura di un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analogico, intervallo di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ha un solo errore di quantizzazione: ad esempio avviando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maniera sincrona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valore di misura (valor medio) dell’induzione magnetica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7" style="width:69pt;height:34pt;" type="#_x0000_t75">
            <v:imagedata r:id="rId15" o:title=""/>
          </v:shape>
          <o:OLEObject DrawAspect="Content" r:id="rId16" ObjectID="_1149853679" ProgID="Equation.3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=6.000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una deviazione standard campionaria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91pt;height:34pt;" type="#_x0000_t75">
            <v:imagedata r:id="rId17" o:title=""/>
          </v:shape>
          <o:OLEObject DrawAspect="Content" r:id="rId18" ObjectID="_1149853751" ProgID="Equation.3" ShapeID="_x0000_s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=1.07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 e con una incertezza tipo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33pt;height:35pt;" type="#_x0000_t75">
            <v:imagedata r:id="rId19" o:title=""/>
          </v:shape>
          <o:OLEObject DrawAspect="Content" r:id="rId20" ObjectID="_1149853885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=0.357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 e una incertezza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103pt;height:37pt;" type="#_x0000_t75">
            <v:imagedata r:id="rId21" o:title=""/>
          </v:shape>
          <o:OLEObject DrawAspect="Content" r:id="rId22" ObjectID="_1149854014" ProgID="Equation.3" ShapeID="_x0000_s1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=6 %.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=6.00(36)×10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lunghezza d’onda del laser a Nd:YAG utilizzato per la misura interferometrica si ricava dalla relazione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λν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 cui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=1.064 000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con incertezza trascurabile. La distanza tra i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=4.999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 mm con una incertezza, di quantizzazione,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24pt;height:17pt;" type="#_x0000_t75">
            <v:imagedata r:id="rId23" o:title=""/>
          </v:shape>
          <o:OLEObject DrawAspect="Content" r:id="rId24" ObjectID="_1149453031" ProgID="Equation.3" ShapeID="_x0000_s11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m. Il tempo di attraversamento dei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con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 ns se non sono note altre cause di incertezza. La velocità dell’elettrone in direzione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dunque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highlight w:val="yellow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000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la relazione funzionale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del tipo a produttoria o rapporto semplice degli ingressi, l’incertezza relativa 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può esprimere come somma delle incertezze relative degli ingressi: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251pt;height:47pt;" type="#_x0000_t75">
            <v:imagedata r:id="rId25" o:title=""/>
          </v:shape>
          <o:OLEObject DrawAspect="Content" r:id="rId26" ObjectID="_1149455841" ProgID="Equation.3" ShapeID="_x0000_s1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216pt;height:40pt;" type="#_x0000_t75">
            <v:imagedata r:id="rId27" o:title=""/>
          </v:shape>
          <o:OLEObject DrawAspect="Content" r:id="rId28" ObjectID="_1149455797" ProgID="Equation.3" ShapeID="_x0000_s13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5.8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assoluta per la velocità lungo l’asse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5.8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forza esercitata dal campo magnetico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sull’elettrone in moto con velocità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  <w:pict>
          <v:shape id="_x0000_s14" style="width:121pt;height:21pt;" type="#_x0000_t75">
            <v:imagedata r:id="rId29" o:title=""/>
          </v:shape>
          <o:OLEObject DrawAspect="Content" r:id="rId30" ObjectID="_1149456188" ProgID="Equation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cui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infine, dividendo per la massa dell’elettrone, si ricava l’espressione per l’accelerazione in direzione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 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ricavato in precedenza, si può ricavare l’accelerazione in direzione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=([1.602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C]/[9.109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kg])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[1000 m/s]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una incertezza relativa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5" style="width:423pt;height:26pt;" type="#_x0000_t75">
            <v:imagedata r:id="rId31" o:title=""/>
          </v:shape>
          <o:OLEObject DrawAspect="Content" r:id="rId32" ObjectID="_1149855838" ProgID="Equation.3" ShapeID="_x0000_s15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assoluta sulla accelerazione misurata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Confrontando questa incertezza relativa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quella (naturalmente sempre relativa)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osserva che le due incertezze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sono circa uguali: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3F)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L’energia cinetica acquisita dalla tensione accelerante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=1.997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283… V.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voltmetro ha dinamica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=±5 V=10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 bit, 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=4096 livelli, per cui la risoluzione dimensionale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=2.441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406… mV. La corrispondente incertezza di quantizzazione (che è anche l’unica presente per il voltmetro digitale ideale) nelle misure del voltmetro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6" style="width:24pt;height:17pt;" type="#_x0000_t75">
            <v:imagedata r:id="rId33" o:title=""/>
          </v:shape>
          <o:OLEObject DrawAspect="Content" r:id="rId34" ObjectID="_1681386397" ProgID="Equation.3" ShapeID="_x0000_s1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=0.70 mV. La tensione misurata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}·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=818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=1.997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070… V, dove con 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si è indicata la parte intera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della tensione accelerante è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=1.997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highlight w:val="yellow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07(70)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Tot=11 sottopunti: moltiplicare per 10/11 per avere il massimo di 10/10=100 % del valore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Con un oscilloscopio digitale si devono misurare due segnali di tensione alternati e a media nulla. Il primo segnale è un’onda triangolare con ampiezza picco-picco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mV e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Il secondo segnale è sinusoidale, con ampiezza efficace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=140 mV e frequenza 1 kHz. L’oscilloscopio può visualizzare fino a 1000 punti (per ciascuna traccia) sull’asse orizzontale.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  <w:tab/>
        <w:t xml:space="preserve">Scegliere, motivatamente,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tutte le impostazioni dell’oscilloscopio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una visualizzazione ottimale dei due segnali “a pieno schermo”.-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  <w:tab/>
        <w:t xml:space="preserve">Riportare graficamente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schermata oscillografica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visualizzata (indicando i valori delle divisioni).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  <w:tab/>
        <w:t xml:space="preserve">L’ADC dell’oscilloscopio ha 8 bit e lavora fino a 1 Gsa/s. Il DSP può elaborare,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tutti i punti </w:t>
      </w:r>
      <w:r w:rsidDel="00000000" w:rsidR="00000000" w:rsidRPr="00000000">
        <w:rPr>
          <w:sz w:val="24"/>
          <w:szCs w:val="24"/>
          <w:rtl w:val="0"/>
        </w:rPr>
        <w:t xml:space="preserve">acquisiti e memorizzati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 l’oscilloscopio effettua la memorizzazione e visualizzazione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 punti sull’asse X (per ciascuna traccia visualizzata). Eseguendo un campionamento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dei due segnali, quanto vale la migliore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risoluzione in fase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sulle due forme d’onda misurate?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fa riferimento a un campionamento sull’intero asse temporale visualizzato.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  <w:tab/>
        <w:t xml:space="preserve">In condizioni ideali, quanto vale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cui l’oscilloscopio digitale misura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ampiezza picco-picco del segnale sinusoidale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una visualizzazione a pieno schermo dei due segnali, scegliamo le seguenti impostazioni: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/(8 DIV)=(50 mV)/(8 DIV)=6.25 mV/DIV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 mV/DIV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/(8 DIV)=(2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7" style="width:19pt;height:17pt;" type="#_x0000_t75">
            <v:imagedata r:id="rId35" o:title=""/>
          </v:shape>
          <o:OLEObject DrawAspect="Content" r:id="rId36" ObjectID="_1671105712" ProgID="Equation.3" ShapeID="_x0000_s17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)/(8 DIV)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(0.4 V)/(8 DIV)=0.05 V/DIV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Y,2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 mV/DIV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 due coefficienti di deflessione verticale dei due canali oscillografici.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l’unico coefficiente di deflessione orizzontale,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mai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distinti!, dell’oscilloscopio: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ms=1000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/(10 DIV)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s/DIV=0.1 ms/DIV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Sull’asse X sarà così visualizzato un periodo del secondo segnale e due periodi del primo segnale.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due segnali in ingresso non presentano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è possibile utilizzare un accoppiamento in DC e sono di frequenza abbastanza elevata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&gt;50Hz) per cui è possibile anche un accoppiamento in AC. Tuttavia è preferibile scegliere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accoppiamento in 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perchè se si manifesta qualche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inizialmente ignorato o una lenta deriva del valore medio dei segnali, in DC è possibile osservarli (“DC mostra di più”).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l’impostazione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notiamo che non sono presenti rumori particolari sui due segnali e quindi conviene prelevare il sincronismo sul segnale a più bassa frequenza (periodo più lungo), magari più ampio, e ancor meglio se sul fronte più ripido. Essendo le forme d’onda alternate e con massima pendenza attorno agli attraversamenti di 0 V, si può scegliere l’evento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corrispondenza di un attraversamento di zero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 0V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ad esempio in salita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SLOPE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posizionare l’istante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orizzontalmente sullo schermo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scegliamo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pretrigger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PRETR=0%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l’istante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posizionato alla sinistra dello schermo (come avviene, sempre, in un oscilloscopio analogico). Anche altre scelte sono possibili e sensate, ad esempio con un PRETR=50% con cui si posiziona l’istante al centro dell’asse X dello schermo. Le pendenze massime dei sue segnali considerati 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/4)=(25 mV)/(125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s)=0.2 V/ms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8" style="width:19pt;height:17pt;" type="#_x0000_t75">
            <v:imagedata r:id="rId37" o:title=""/>
          </v:shape>
          <o:OLEObject DrawAspect="Content" r:id="rId38" ObjectID="_1671105712" ProgID="Equation.3" ShapeID="_x0000_s1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(0.2 V)/(1 ms)=1.24 V/ms.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(anche se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conviene prelevare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interno sul canale 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su CH2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Inoltre il segnale sinusoidale è di ampiezza maggiore rispetto al triangolare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quindi il rumore in ingresso all’oscilloscopio peserà di meno sulla sinusoide, che è stata scelta come sorgente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schermata oscillografica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ottenuta con le impostazioni scelte al punto precedente, e in particolare 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CH2 cioè sulla sinusoide con PRETR=TRG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=0 %,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99785" cy="3898900"/>
            <wp:effectExtent b="0" l="0" r="0" t="0"/>
            <wp:docPr id="105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avendo informazioni sulla fase iniziale delle due onde (o meglio sul ritardo temporale tra i rispettivi attraversamenti di zero, dato che le onde non sono isofrequenziali), possiamo disegnare la fase dell’onda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maniera del tutto arbitraria rispetto a quella del segnale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il quale è invece sincronizzata la base dei tempi dell’oscilloscopio e dunque l’inizio dell’asse X.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il campionamento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migliore risoluzione temporale “possibile” (su una scala dei tempi molto veloce)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ADC,MAX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ns. Tuttavia, quando un segnale di tensione viene campionato, memorizzato, e visualizzato sullo schermo, la distanza minima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X,RIS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(sull’asse X) tra due punti consecutivi di una forma d’onda dipende dal numero massimo di punti riportabili sull’asse X e dalla scala temporale 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adottata. Nel caso delle due forme d’onda visualizzate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ms/DIV l’intero asse orizzontale rappresenta un intervallo di tempo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=(10 DIV)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ms sul quale sono riportati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 punti per ciascun canale visualizzato. La risoluzione temporale sui segnali visualizzati è dunque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Per il calcolo della risoluzione di fase, si usa la proporzione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il periodo del segnale considerato. Le risoluzioni di fase cercate sono quindi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/0.5×10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=12.6 mrad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e  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=6.28 mrad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L’amplificazione o meglio coefficiente di deflessione verticale per il canale 2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mV/DIV, per cui la diamica verticale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=400 mV e la corrispondente risoluzione dimensionale,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 bit dell’ADC,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=(400 mV)/256=1.562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 mV. Nel caso ideale, l’incertezza di una misura di tensione con l’oscilloscopio è tutta dovuta alla quantizzazione ed in questo caso risulta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9" style="width:23pt;height:17pt;" type="#_x0000_t75">
            <v:imagedata r:id="rId39" o:title=""/>
          </v:shape>
          <o:OLEObject DrawAspect="Content" r:id="rId40" ObjectID="_1671105439" ProgID="Equation.3" ShapeID="_x0000_s19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La misura dell’ampiezza picco-picco si ottiene dalla differenza tra l’ampiezza di picco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l’ampiezza di valle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L’incertezza in condizioni ideali, solo rumore di quantizzazione, è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0" style="width:19pt;height:17pt;" type="#_x0000_t75">
            <v:imagedata r:id="rId41" o:title=""/>
          </v:shape>
          <o:OLEObject DrawAspect="Content" r:id="rId42" ObjectID="_1671105712" ProgID="Equation.3" ShapeID="_x0000_s2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)=640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V=0.64 mV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=(0.64 mV)/(0.4 V)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=0.16 %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Naturalmente, in presenza di rumore analogico, se anche non sui segnali almeno nei circuiti d’ingresso dell’oscilloscopio (con valore efficace tipicamente da 2 mV fino a 10 mV a seconda della banda di misura), l’incertezza complessiva della misura risulterà  anche ben superiore rispetto a quella ideale dovuta alla sola quantizzazione, in particolare con ampiezze dei segnali e dunque dinamiche di visualizzazione basse.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Tot=10 sottopunti: moltiplicare per 10/10 per avere il massimo di 10/10=100 % del valore dell’esercizio.</w:t>
      </w:r>
      <w:r w:rsidDel="00000000" w:rsidR="00000000" w:rsidRPr="00000000">
        <w:rPr>
          <w:rtl w:val="0"/>
        </w:rPr>
      </w:r>
    </w:p>
    <w:sectPr>
      <w:footerReference r:id="rId62" w:type="default"/>
      <w:footerReference r:id="rId63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Gungsuh"/>
  <w:font w:name="Symbol"/>
  <w:font w:name="Book Antiqua">
    <w:embedRegular w:fontKey="{00000000-0000-0000-0000-000000000000}" r:id="rId43" w:subsetted="0"/>
    <w:embedBold w:fontKey="{00000000-0000-0000-0000-000000000000}" r:id="rId44" w:subsetted="0"/>
    <w:embedItalic w:fontKey="{00000000-0000-0000-0000-000000000000}" r:id="rId45" w:subsetted="0"/>
    <w:embedBoldItalic w:fontKey="{00000000-0000-0000-0000-000000000000}" r:id="rId46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4.bin"/><Relationship Id="rId42" Type="http://schemas.openxmlformats.org/officeDocument/2006/relationships/oleObject" Target="embeddings/oleObject3.bin"/><Relationship Id="rId41" Type="http://schemas.openxmlformats.org/officeDocument/2006/relationships/image" Target="media/image9.wmf"/><Relationship Id="rId44" Type="http://schemas.openxmlformats.org/officeDocument/2006/relationships/settings" Target="settings.xml"/><Relationship Id="rId43" Type="http://schemas.openxmlformats.org/officeDocument/2006/relationships/theme" Target="theme/theme1.xml"/><Relationship Id="rId46" Type="http://schemas.openxmlformats.org/officeDocument/2006/relationships/numbering" Target="numbering.xml"/><Relationship Id="rId45" Type="http://schemas.openxmlformats.org/officeDocument/2006/relationships/fontTable" Target="fontTable.xml"/><Relationship Id="rId1" Type="http://schemas.openxmlformats.org/officeDocument/2006/relationships/image" Target="media/image21.wmf"/><Relationship Id="rId2" Type="http://schemas.openxmlformats.org/officeDocument/2006/relationships/oleObject" Target="embeddings/oleObject21.bin"/><Relationship Id="rId3" Type="http://schemas.openxmlformats.org/officeDocument/2006/relationships/image" Target="media/image20.wmf"/><Relationship Id="rId4" Type="http://schemas.openxmlformats.org/officeDocument/2006/relationships/oleObject" Target="embeddings/oleObject20.bin"/><Relationship Id="rId48" Type="http://schemas.openxmlformats.org/officeDocument/2006/relationships/customXml" Target="../customXML/item1.xml"/><Relationship Id="rId9" Type="http://schemas.openxmlformats.org/officeDocument/2006/relationships/image" Target="media/image15.wmf"/><Relationship Id="rId47" Type="http://schemas.openxmlformats.org/officeDocument/2006/relationships/styles" Target="styles.xml"/><Relationship Id="rId49" Type="http://schemas.openxmlformats.org/officeDocument/2006/relationships/image" Target="media/image24.png"/><Relationship Id="rId5" Type="http://schemas.openxmlformats.org/officeDocument/2006/relationships/image" Target="media/image1.wmf"/><Relationship Id="rId6" Type="http://schemas.openxmlformats.org/officeDocument/2006/relationships/oleObject" Target="embeddings/oleObject1.bin"/><Relationship Id="rId7" Type="http://schemas.openxmlformats.org/officeDocument/2006/relationships/image" Target="media/image2.wmf"/><Relationship Id="rId8" Type="http://schemas.openxmlformats.org/officeDocument/2006/relationships/oleObject" Target="embeddings/oleObject2.bin"/><Relationship Id="rId31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3" Type="http://schemas.openxmlformats.org/officeDocument/2006/relationships/image" Target="media/image10.wmf"/><Relationship Id="rId32" Type="http://schemas.openxmlformats.org/officeDocument/2006/relationships/oleObject" Target="embeddings/oleObject11.bin"/><Relationship Id="rId35" Type="http://schemas.openxmlformats.org/officeDocument/2006/relationships/image" Target="media/image9.wmf"/><Relationship Id="rId34" Type="http://schemas.openxmlformats.org/officeDocument/2006/relationships/oleObject" Target="embeddings/oleObject10.bin"/><Relationship Id="rId37" Type="http://schemas.openxmlformats.org/officeDocument/2006/relationships/image" Target="media/image9.wmf"/><Relationship Id="rId36" Type="http://schemas.openxmlformats.org/officeDocument/2006/relationships/oleObject" Target="embeddings/oleObject9.bin"/><Relationship Id="rId39" Type="http://schemas.openxmlformats.org/officeDocument/2006/relationships/image" Target="media/image4.wmf"/><Relationship Id="rId38" Type="http://schemas.openxmlformats.org/officeDocument/2006/relationships/oleObject" Target="embeddings/oleObject8.bin"/><Relationship Id="rId62" Type="http://schemas.openxmlformats.org/officeDocument/2006/relationships/footer" Target="footer2.xml"/><Relationship Id="rId61" Type="http://schemas.openxmlformats.org/officeDocument/2006/relationships/image" Target="media/image34.png"/><Relationship Id="rId20" Type="http://schemas.openxmlformats.org/officeDocument/2006/relationships/oleObject" Target="embeddings/oleObject7.bin"/><Relationship Id="rId63" Type="http://schemas.openxmlformats.org/officeDocument/2006/relationships/footer" Target="footer1.xml"/><Relationship Id="rId22" Type="http://schemas.openxmlformats.org/officeDocument/2006/relationships/oleObject" Target="embeddings/oleObject6.bin"/><Relationship Id="rId21" Type="http://schemas.openxmlformats.org/officeDocument/2006/relationships/image" Target="media/image6.wmf"/><Relationship Id="rId24" Type="http://schemas.openxmlformats.org/officeDocument/2006/relationships/oleObject" Target="embeddings/oleObject5.bin"/><Relationship Id="rId23" Type="http://schemas.openxmlformats.org/officeDocument/2006/relationships/image" Target="media/image18.wmf"/><Relationship Id="rId60" Type="http://schemas.openxmlformats.org/officeDocument/2006/relationships/image" Target="media/image29.png"/><Relationship Id="rId26" Type="http://schemas.openxmlformats.org/officeDocument/2006/relationships/oleObject" Target="embeddings/oleObject14.bin"/><Relationship Id="rId25" Type="http://schemas.openxmlformats.org/officeDocument/2006/relationships/image" Target="media/image14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3.wmf"/><Relationship Id="rId29" Type="http://schemas.openxmlformats.org/officeDocument/2006/relationships/image" Target="media/image12.wmf"/><Relationship Id="rId51" Type="http://schemas.openxmlformats.org/officeDocument/2006/relationships/image" Target="media/image28.png"/><Relationship Id="rId50" Type="http://schemas.openxmlformats.org/officeDocument/2006/relationships/image" Target="media/image23.png"/><Relationship Id="rId53" Type="http://schemas.openxmlformats.org/officeDocument/2006/relationships/image" Target="media/image22.png"/><Relationship Id="rId52" Type="http://schemas.openxmlformats.org/officeDocument/2006/relationships/image" Target="media/image33.png"/><Relationship Id="rId55" Type="http://schemas.openxmlformats.org/officeDocument/2006/relationships/image" Target="media/image30.png"/><Relationship Id="rId11" Type="http://schemas.openxmlformats.org/officeDocument/2006/relationships/image" Target="media/image19.wmf"/><Relationship Id="rId54" Type="http://schemas.openxmlformats.org/officeDocument/2006/relationships/image" Target="media/image35.png"/><Relationship Id="rId10" Type="http://schemas.openxmlformats.org/officeDocument/2006/relationships/oleObject" Target="embeddings/oleObject15.bin"/><Relationship Id="rId57" Type="http://schemas.openxmlformats.org/officeDocument/2006/relationships/image" Target="media/image26.png"/><Relationship Id="rId13" Type="http://schemas.openxmlformats.org/officeDocument/2006/relationships/image" Target="media/image18.wmf"/><Relationship Id="rId56" Type="http://schemas.openxmlformats.org/officeDocument/2006/relationships/image" Target="media/image32.png"/><Relationship Id="rId12" Type="http://schemas.openxmlformats.org/officeDocument/2006/relationships/oleObject" Target="embeddings/oleObject19.bin"/><Relationship Id="rId59" Type="http://schemas.openxmlformats.org/officeDocument/2006/relationships/image" Target="media/image25.png"/><Relationship Id="rId15" Type="http://schemas.openxmlformats.org/officeDocument/2006/relationships/image" Target="media/image17.wmf"/><Relationship Id="rId58" Type="http://schemas.openxmlformats.org/officeDocument/2006/relationships/image" Target="media/image27.png"/><Relationship Id="rId14" Type="http://schemas.openxmlformats.org/officeDocument/2006/relationships/oleObject" Target="embeddings/oleObject18.bin"/><Relationship Id="rId17" Type="http://schemas.openxmlformats.org/officeDocument/2006/relationships/image" Target="media/image16.wmf"/><Relationship Id="rId16" Type="http://schemas.openxmlformats.org/officeDocument/2006/relationships/oleObject" Target="embeddings/oleObject17.bin"/><Relationship Id="rId19" Type="http://schemas.openxmlformats.org/officeDocument/2006/relationships/image" Target="media/image7.wmf"/><Relationship Id="rId18" Type="http://schemas.openxmlformats.org/officeDocument/2006/relationships/oleObject" Target="embeddings/oleObject16.bin"/></Relationships>
</file>

<file path=word/_rels/fontTable.xml.rels><?xml version="1.0" encoding="UTF-8" standalone="yes"?><Relationships xmlns="http://schemas.openxmlformats.org/package/2006/relationships"><Relationship Id="rId44" Type="http://schemas.openxmlformats.org/officeDocument/2006/relationships/font" Target="fonts/BookAntiqua-bold.ttf"/><Relationship Id="rId43" Type="http://schemas.openxmlformats.org/officeDocument/2006/relationships/font" Target="fonts/BookAntiqua-regular.ttf"/><Relationship Id="rId46" Type="http://schemas.openxmlformats.org/officeDocument/2006/relationships/font" Target="fonts/BookAntiqua-boldItalic.ttf"/><Relationship Id="rId45" Type="http://schemas.openxmlformats.org/officeDocument/2006/relationships/font" Target="fonts/BookAntiqua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4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a5/FLpnBYELQ9GvdmVrtRpjaQ==">CgMxLjAaJQoBMBIgCh4IB0IaCg9UaW1lcyBOZXcgUm9tYW4SB0d1bmdzdWgaJQoBMRIgCh4IB0IaCg9UaW1lcyBOZXcgUm9tYW4SB0d1bmdzdWgaJQoBMhIgCh4IB0IaCg9UaW1lcyBOZXcgUm9tYW4SB0d1bmdzdWgaJQoBMxIgCh4IB0IaCg9UaW1lcyBOZXcgUm9tYW4SB0d1bmdzdWg4AHIhMUI5VWtFYkNaZ244TW0yb0pscldHX0gyekFQcDItWkNZ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2021-06-27T22:05:00Z</dcterms:created>
  <dc:creator>Cesare Svelto</dc:creator>
</cp:coreProperties>
</file>