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8005371093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a2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00a2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a2ff"/>
          <w:sz w:val="30"/>
          <w:szCs w:val="30"/>
          <w:u w:val="none"/>
          <w:shd w:fill="auto" w:val="clear"/>
          <w:vertAlign w:val="baseline"/>
          <w:rtl w:val="0"/>
        </w:rPr>
        <w:t xml:space="preserve">DOMANDE LASER </w:t>
      </w:r>
      <w:r w:rsidDel="00000000" w:rsidR="00000000" w:rsidRPr="00000000">
        <w:rPr>
          <w:rFonts w:ascii="Helvetica Neue" w:cs="Helvetica Neue" w:eastAsia="Helvetica Neue" w:hAnsi="Helvetica Neue"/>
          <w:color w:val="00a2ff"/>
          <w:sz w:val="30"/>
          <w:szCs w:val="30"/>
          <w:rtl w:val="0"/>
        </w:rPr>
        <w:t xml:space="preserve">5 CFU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a2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99707031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2.3 - Oscillazioni di Rabi in un sistema atomico a due livelli.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3.600006103515625" w:right="398.99536132812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scrivano le equazioni accoppiate per le ampiezze di probabilità c1 e c2 in un atomo a due livelli, avente frequenza di risonanza ω0, interagente in modo coerente con una onda elettromagnetica di frequenza ω prossima a ω0 in approssimazione di interazione di dipolo elettrico ed assumendo la approssimazione di onda rotante; si indichino con μ12x il momento di dipolo elettrico della transizione e con E(t)=(1/2)[A(t) exp(iωt)+c.c.] il campo elettrico dell’onda elettromagnetica incidente sull’atomo.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10.319976806640625" w:right="435.18310546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calcoli e si commenti l’andamento di |c1(t)|2 e di |c2(t)|2 nel caso di interazione risonante (ω=ω0) e onda continua [A(t)=E0 costante], supponendo al tempo iniziale c1(0)=1.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consideri infine il caso di un impulso ottico, risonante con l’atomo (ω=ω0) e di ampiezza dell’inviluppo A(t) reale, incidente sull’atomo inizialmente sul livello fondamentale [c1(−∞)=1]. Si calcoli la probabilità |c2(+∞)|2 che l’impulso induca una transizione dell’atomo sul livello eccitato dopo il suo passaggio, precisando in quali condizioni si ha trasparenza elettromagnetica.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4.080047607421875" w:right="372.447509765625" w:firstLine="6.23992919921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8466796875" w:line="240" w:lineRule="auto"/>
        <w:ind w:left="3.3599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2.4 - Teoria semiclassica dell’emissione spontanea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descriva brevemente il fenomeno dell’emissione spontanea.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4.080047607421875" w:right="48.6877441406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derivi l’espressione del valore di aspettazione del momento di dipolo elettrico per un atomo a due livelli in uno stato non stazionario, e si scriva l’equazione differenziale del bilancio energetico del sistema atomo-campo usando l’espressione della potenza irradiata da un dipolo elettrico oscillante data dal teorema di Larmor dell’elettrodinamica classica.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2.1600341796875" w:right="1114.5288085937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integri l’equazione differenziale e si calcoli la legge di decadimento semiclassica, tracciandone un grafico.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Si spieghi perché il risultato semiclassico è incorretto.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3.600006103515625" w:right="619.82055664062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Come si modifica il tempo di vita radiativo (di emissione spontanea) del livello eccitato se la transizione fosse proibita per dipolo elettrico ma permessa per dipolo magnetico?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2.6 - Cause di allargamento di riga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5185699463" w:lineRule="auto"/>
        <w:ind w:left="5.03997802734375" w:right="570.2001953125" w:firstLine="4.3200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dia la definizione di causa di allargamento di riga non omogeneo in una transizione laser. Si descriva poi la causa di allargamento Doppler in un gas.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3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2.6.1 - Allargamento collisionale nei gas.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2.1600341796875" w:right="308.15063476562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imposti il problema del calcolo della probabilità di transizione W per un atomo a due livelli in teoria di perturbazione e in presenza di collisioni elastiche con altri atomi, spiegando come si tiene conto fenomenologicamente delle collisioni nelle equazioni delle ampiezze di probabilità.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33.23998928070068" w:lineRule="auto"/>
        <w:ind w:left="3.1200408935546875" w:right="346.1669921875" w:firstLine="7.1999359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mostri che l’effetto delle collisioni nel calcolo del rate W è quello di sostituire alla delta di Dirac dell’interazione coerente una funzione Lorentziana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33.23998928070068" w:lineRule="auto"/>
        <w:ind w:left="5.03997802734375" w:right="204.879150390625" w:firstLine="5.27999877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Come dipende la larghezza di riga della Lorentziana dal tempo medio collisionale degli atomi del gas?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992675781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Quale è un tipico allargamento collisionale di riga, per unità di pressione, in un gas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399780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atomi di Neon?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2.6.2 - Allargamento di riga Doppler in un laser.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.240020751953125" w:right="448.26416015625" w:firstLine="10.0799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imposti il problema del calcolo della probabiltà di transizione W (assorbimento/emissione stimolata) per un atomo a due livelli in moto rispetto al sistema di riferimento di laboratorio, precisando la dipendenza della frequenza di risonanza ω0’ dell’atomo nel sistema del laboratorio in funzione della sua velocità e della frequenza di risonanza propria ω0 (a risposo).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8.160018920898438" w:right="73.453369140625" w:firstLine="2.159957885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scriva l’espressione della distribuzione delle velocità molecolari del gas di atomi a due livelli all’equilibrio termodinamico a temperatura assoluta T.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5.52001953125" w:right="149.89868164062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derivi l’espressione della distribuzione g* delle frequenze di risonanze ω0’ e se ne tracci un grafico.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2.1600341796875" w:right="793.1671142578125" w:firstLine="8.1599426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Come dipende la larghezza (FWHM) della distribuzione dalla massa degli atomi e dalla temperatura?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Quale è un tipico valore di allargamento di riga Doppler per un gas di Neon nel laser a He-Ne?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3.359985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882324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2.8.1 e 2.8.2 - Saturazione dell’assorbimento.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3.1200408935546875" w:right="273.4228515625" w:firstLine="7.19993591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discuta il fenomeno della saturazione dell’assorbimento per riga ad allargamento omogeneo nella configurazione pump/probe.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279998779296875" w:right="447.646484375" w:firstLine="5.039978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discuta il fenomeno della saturazione dell’assorbimento per riga ad allargamento non omogeneo nella configurazione pump/probe, spiegando l’origine e le caratteristiche delle buche spettrali nella curva del profilo di assorbimento per il fascio di probe.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ea9999"/>
          <w:sz w:val="24"/>
          <w:szCs w:val="24"/>
          <w:u w:val="none"/>
          <w:shd w:fill="auto" w:val="clear"/>
          <w:vertAlign w:val="baseline"/>
          <w:rtl w:val="0"/>
        </w:rPr>
        <w:t xml:space="preserve">4.2 - Stabilità di un risonatore ottico.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dia la definizione di stabilità di un risonatore ottico secondo l’ottica a raggi.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33.23998928070068" w:lineRule="auto"/>
        <w:ind w:left="4.080047607421875" w:right="411.953125" w:firstLine="6.239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dimostri che la condizione di stabilità di un risonatore è data da: |A+D|&gt;2 essendo A e D i coefficienti della matrice ABCD di round-trip del risonatore rispetto ad un piano di riferimento interno alla cavità.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0.240020751953125" w:right="-5.6005859375" w:firstLine="10.0799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Nel caso di risonatori a cavità lineare a due specchi sferici, si tracci il diagramma di stabilità nel piano (g1,g2), indicando il luogo dei risonatori simmetrici e precisando quali sono i tre risonatori simmetrici al limite della stabilità.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40" w:lineRule="auto"/>
        <w:ind w:left="3.60000610351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e0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e06666"/>
          <w:sz w:val="24"/>
          <w:szCs w:val="24"/>
          <w:u w:val="none"/>
          <w:shd w:fill="auto" w:val="clear"/>
          <w:vertAlign w:val="baseline"/>
          <w:rtl w:val="0"/>
        </w:rPr>
        <w:t xml:space="preserve">4.3 - Teoria ondulatoria dei risonatori.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2.1600341796875" w:right="279.835205078125" w:firstLine="7.20001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consideri un risonatore ottico a cavità lineare di lunghezza L e sia ABCD la matrice di doppio transito del risonatore rispetto ad un piano γ di riferimento in cavità. Assumendo che il risonatore non abbia perdite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33.23998928070068" w:lineRule="auto"/>
        <w:ind w:left="5.52001953125" w:right="522.929077148437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 l’equazione di autoconsistenza agli autovalori che determina i modi del risonatore. (ii) Si mostri che esistono modi confinati se e solo se il risonatore è stabile secondo l’ottica geometrica.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83.21998596191406" w:lineRule="auto"/>
        <w:ind w:left="5.03997802734375" w:right="460.791015625" w:firstLine="5.27999877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dimostri che le frequenze di risonanza del risonatore sono date dalla relazione: _(n,l,m) dove n è l’indice longitudinale di modo ed m, l gli indici trasversali di modo.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00134277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e 5.3 - Oscillazioni di rilassamento in un laser a quattro livelli.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scrivano le rate-equations per laser a quattro livelli, con brevissimo commento dei vari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termini che entrano nelle equazioni, e si determini la soluzione laser sopra soglia.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33.23998928070068" w:lineRule="auto"/>
        <w:ind w:left="4.8000335693359375" w:right="333.665771484375" w:firstLine="5.51994323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linearizzino le rate-equations attorno alla soluzione corrispondente a laser sopra soglia e si calcolino gli autovalori nell’analisi di stabilità.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0.240020751953125" w:right="895.9368896484375" w:firstLine="10.079956054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Si derivi l’espressione della frequenze delle oscillazioni di rilassamento e si tracci un diagramma dell’andamento temporale del numero di fotoni in cavità e della inversione di popolazione, nonché nello spazio delle fasi, che mostrino il decadimento delle oscillazioni.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33.23998928070068" w:lineRule="auto"/>
        <w:ind w:left="3.600006103515625" w:right="313.6474609375" w:firstLine="6.719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 Si dimostri che condizione necessaria per avere oscillazioni di rilassamento è che il tempo di vita del livello laser superiore sia maggiore del temo di vita dei fotoni in cavità.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(v) Quale è un valore tipico delle oscillazioni di rilassamento in laser a semiconduttore?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33.23998928070068" w:lineRule="auto"/>
        <w:ind w:left="1.920013427734375" w:right="519.1845703125" w:firstLine="8.399963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(vi) Quali tra questi laser NON mostra oscillazioni di rilassamento? (a) Laser a Ti:sapphire, (b) Laser AlGaAs, (c) Laser a He-Ne, (d) Laser a Nd:YAG, (e) Laser ad anidride carbonica.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796875" w:line="240" w:lineRule="auto"/>
        <w:ind w:left="4.560012817382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5.4 - Cause di oscillazione multimodale del laser.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898792266846" w:lineRule="auto"/>
        <w:ind w:left="10.319976806640625" w:right="213.32763671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Si descriva la causa di oscillazione multimodale in laser ad allargamento di riga non omogeneo (spectral hole burning)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908203125" w:line="233.23998928070068" w:lineRule="auto"/>
        <w:ind w:left="0" w:right="509.39208984375" w:firstLine="10.3199768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Si discuta la causa di allargamento di riga del laser ad allargamento omogeneo (spatial hole burning).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02978515625" w:line="233.23998928070068" w:lineRule="auto"/>
        <w:ind w:left="5.03997802734375" w:right="185.179443359375" w:hanging="0.479965209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5.5 -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illustrino i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metodi di selezione del singolo modo longitudinale di un laser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basati: (i) uso di cavità corta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sull'utilizzo di uno o più etalon in cavità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sull’uso di un diodo ottico in cavità ad anello.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5.760040283203125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004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illustrino 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tecniche di Q-switching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laser basate su: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sull’uso di un prisma rotante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sull’uso di una cella di Pockels in cavità (metedo elettro-ottico)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sull’uso di un modulatore acusto-ottico in cavità.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120040893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Dinamica del processo di Q-switching di un laser: aspetti generali, Q-switching veloce e lento.</w:t>
      </w:r>
    </w:p>
    <w:sectPr>
      <w:pgSz w:h="16820" w:w="11900" w:orient="portrait"/>
      <w:pgMar w:bottom="1363.9419555664062" w:top="1101.558837890625" w:left="1134.5783996582031" w:right="1147.6916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