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Electronic Frontier Foundation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https://www.eff.org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eff-logo-lockup-black.png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English, Español, Français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in_person_training, legal,  vulnerabilities_malware, forensic, advocacy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journalists, hrds, cso, activists, lgbti, land, women, youth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Monday-Friday, 9am-5pm PST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3 working days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email, pgp, phone, signal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email: info@eff.org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pgp_key: https://www.eff.org/files/2013/10/01/info-eff-org.txt.key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pgp_key_fingerprint: F2F2 1BB8 531E 9DC3 0D40 F68B 11A1 A9C8 4B18 732F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phone: +1-415-436-9333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signal: +1-510-243-8020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initial_intake: no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ඉලෙක්ට්‍රොනික් ෆ්‍රොන්ටියර් පදනමේ මෙහෙවර වන්නේ තාක්‍ෂණය සමඟ ඡේදනය වන විට සිවිල් නිදහස සහ මානව හිමිකම් ආරක්ෂා කිරීමයි.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0y1qLsWeIOgEWXz097louIqPvg==">CgMxLjAaGQoBMBIUChIIB0IOEgxJc2tvb2xhIFBvdGE4AXIhMWZkZjhZckkyMjVlVUhpeXU5Z1lCS2ZpRF93U2wxV05E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