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Deflect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https://www.deflect.ca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deflect.png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Français, Русский, Español, Bahasa Indonesia, Filipino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ddos, web_hosting, web_protection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hrds, cso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24/5, UTC-4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6 hours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support@equalit.ie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Deflect ஆனது சிவில் சமூகம் மற்றும் மனித உரிமைக் காப்பாளர்களினை டிஜிட்டல் தாக்குதலிலிருந்து காக்கும் இலவசமான வலைத்தள பாதுகாப்புச் சேவையாகும்.</w:t>
          </w:r>
        </w:sdtContent>
      </w:sdt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sXUx57sIbAIQfcfh8M1ELSHQFg==">CgMxLjAaEgoBMBINCgsIB0IHEgVMYXRoYTgBciExR3p5Q1FoaWdxUnY2bkIyYU5YcmZId1J3VUVBb3o0aXM=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