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page.pug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permalink: /en/support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type: support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வேறுபட்ட  உதவிகளினை வழங்கக்கூடிய நிறுவனங்களின் பட்டியல் இங்கே காணப்படுகிறது. ஒவ்வொரு நிறுவனத்தினையும் அழுத்துவதன் மூலம் அவர்களின் சேவைகள் தொடர்பான முழு விபரங்கள் மற்றும் அவர்களை எவ்வாறு தொடர்புகொள்வது என்பதனை அறிந்து கொள்ளலாம்.</w:t>
          </w:r>
        </w:sdtContent>
      </w:sdt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AqiBWAaDOrjxKUO6mlI3fGHjw==">CgMxLjAaEgoBMBINCgsIB0IHEgVMYXRoYTgBciExSkNaYjNIU1puYjBCZzNFT0FHekJpUDVxZVZzQ1F4VHo=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