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91E2F" w14:textId="330FD08C" w:rsidR="00061EFB" w:rsidRPr="001F6C86" w:rsidRDefault="001F6C86" w:rsidP="001F2C6F">
      <w:pPr>
        <w:spacing w:line="276" w:lineRule="auto"/>
        <w:jc w:val="both"/>
        <w:rPr>
          <w:b/>
          <w:bCs/>
        </w:rPr>
      </w:pPr>
      <w:r w:rsidRPr="001F6C86">
        <w:rPr>
          <w:b/>
          <w:bCs/>
        </w:rPr>
        <w:t>The Holy Trinity – Connecting the Dots</w:t>
      </w:r>
    </w:p>
    <w:p w14:paraId="6DD0309F" w14:textId="77777777" w:rsidR="001F6C86" w:rsidRDefault="001F6C86" w:rsidP="001F2C6F">
      <w:pPr>
        <w:spacing w:line="276" w:lineRule="auto"/>
        <w:jc w:val="both"/>
      </w:pPr>
    </w:p>
    <w:p w14:paraId="6E955A3C" w14:textId="77777777" w:rsidR="001F6C86" w:rsidRDefault="001F6C86" w:rsidP="001F2C6F">
      <w:pPr>
        <w:spacing w:line="276" w:lineRule="auto"/>
        <w:jc w:val="both"/>
      </w:pPr>
      <w:r w:rsidRPr="001F6C86">
        <w:rPr>
          <w:b/>
          <w:bCs/>
        </w:rPr>
        <w:t>Connect the dots between melt-up dynamics and Engel Capital systematic macro framework</w:t>
      </w:r>
    </w:p>
    <w:p w14:paraId="37753057" w14:textId="01532A95" w:rsidR="001F6C86" w:rsidRPr="00003414" w:rsidRDefault="001F6C86" w:rsidP="001F2C6F">
      <w:pPr>
        <w:spacing w:line="276" w:lineRule="auto"/>
        <w:jc w:val="both"/>
        <w:rPr>
          <w:sz w:val="19"/>
          <w:szCs w:val="19"/>
        </w:rPr>
      </w:pPr>
      <w:r w:rsidRPr="00003414">
        <w:rPr>
          <w:sz w:val="19"/>
          <w:szCs w:val="19"/>
        </w:rPr>
        <w:t xml:space="preserve">This is a </w:t>
      </w:r>
      <w:proofErr w:type="gramStart"/>
      <w:r w:rsidRPr="00003414">
        <w:rPr>
          <w:sz w:val="19"/>
          <w:szCs w:val="19"/>
        </w:rPr>
        <w:t>really compelling</w:t>
      </w:r>
      <w:proofErr w:type="gramEnd"/>
      <w:r w:rsidRPr="00003414">
        <w:rPr>
          <w:sz w:val="19"/>
          <w:szCs w:val="19"/>
        </w:rPr>
        <w:t xml:space="preserve"> angle that aligns well with your regime-aware philosophy at Engel Capital. </w:t>
      </w:r>
    </w:p>
    <w:p w14:paraId="1B2447B7" w14:textId="77777777" w:rsidR="00B54949" w:rsidRPr="00B54949" w:rsidRDefault="00B54949" w:rsidP="001F2C6F">
      <w:pPr>
        <w:spacing w:line="276" w:lineRule="auto"/>
        <w:jc w:val="both"/>
        <w:rPr>
          <w:b/>
          <w:bCs/>
        </w:rPr>
      </w:pPr>
      <w:r w:rsidRPr="00B54949">
        <w:rPr>
          <w:b/>
          <w:bCs/>
        </w:rPr>
        <w:t>Core Conceptual Framework</w:t>
      </w:r>
    </w:p>
    <w:p w14:paraId="59DFEA5B" w14:textId="0E762E0D" w:rsidR="00B54949" w:rsidRPr="00003414" w:rsidRDefault="00B54949" w:rsidP="001F2C6F">
      <w:pPr>
        <w:spacing w:line="276" w:lineRule="auto"/>
        <w:jc w:val="both"/>
        <w:rPr>
          <w:sz w:val="19"/>
          <w:szCs w:val="19"/>
        </w:rPr>
      </w:pPr>
      <w:r w:rsidRPr="00003414">
        <w:rPr>
          <w:sz w:val="19"/>
          <w:szCs w:val="19"/>
        </w:rPr>
        <w:t xml:space="preserve">The key insight here is that melt-ups create </w:t>
      </w:r>
      <w:r w:rsidRPr="00003414">
        <w:rPr>
          <w:b/>
          <w:bCs/>
          <w:sz w:val="19"/>
          <w:szCs w:val="19"/>
        </w:rPr>
        <w:t>regime instability</w:t>
      </w:r>
      <w:r w:rsidRPr="00003414">
        <w:rPr>
          <w:sz w:val="19"/>
          <w:szCs w:val="19"/>
        </w:rPr>
        <w:t xml:space="preserve"> - you're essentially in a transition state where fundamentals diverge from price action, creating exploitable volatility patterns across the curve. The herding </w:t>
      </w:r>
      <w:r w:rsidR="0025037F" w:rsidRPr="00003414">
        <w:rPr>
          <w:sz w:val="19"/>
          <w:szCs w:val="19"/>
        </w:rPr>
        <w:t>behaviour</w:t>
      </w:r>
      <w:r w:rsidRPr="00003414">
        <w:rPr>
          <w:sz w:val="19"/>
          <w:szCs w:val="19"/>
        </w:rPr>
        <w:t xml:space="preserve"> generates predictable convexity profiles that you can systematically harvest.</w:t>
      </w:r>
    </w:p>
    <w:p w14:paraId="7E2E8BB5" w14:textId="77777777" w:rsidR="00B54949" w:rsidRPr="00B54949" w:rsidRDefault="00B54949" w:rsidP="001F2C6F">
      <w:pPr>
        <w:spacing w:line="276" w:lineRule="auto"/>
        <w:jc w:val="both"/>
        <w:rPr>
          <w:b/>
          <w:bCs/>
        </w:rPr>
      </w:pPr>
      <w:r w:rsidRPr="00B54949">
        <w:rPr>
          <w:b/>
          <w:bCs/>
        </w:rPr>
        <w:t>Strategic Architecture</w:t>
      </w:r>
    </w:p>
    <w:p w14:paraId="5AB2991C" w14:textId="77777777" w:rsidR="00B54949" w:rsidRPr="00003414" w:rsidRDefault="00B54949" w:rsidP="001F2C6F">
      <w:pPr>
        <w:spacing w:line="276" w:lineRule="auto"/>
        <w:jc w:val="both"/>
        <w:rPr>
          <w:sz w:val="19"/>
          <w:szCs w:val="19"/>
        </w:rPr>
      </w:pPr>
      <w:r w:rsidRPr="00003414">
        <w:rPr>
          <w:b/>
          <w:bCs/>
          <w:sz w:val="19"/>
          <w:szCs w:val="19"/>
        </w:rPr>
        <w:t>1. Regime Detection Layer</w:t>
      </w:r>
      <w:r w:rsidRPr="00003414">
        <w:rPr>
          <w:sz w:val="19"/>
          <w:szCs w:val="19"/>
        </w:rPr>
        <w:t xml:space="preserve"> You'd want to build a real-time melt-up detector that combines:</w:t>
      </w:r>
    </w:p>
    <w:p w14:paraId="10A8B8D7" w14:textId="77777777" w:rsidR="00B54949" w:rsidRPr="00003414" w:rsidRDefault="00B54949" w:rsidP="001F2C6F">
      <w:pPr>
        <w:numPr>
          <w:ilvl w:val="0"/>
          <w:numId w:val="1"/>
        </w:numPr>
        <w:spacing w:line="276" w:lineRule="auto"/>
        <w:jc w:val="both"/>
        <w:rPr>
          <w:sz w:val="19"/>
          <w:szCs w:val="19"/>
        </w:rPr>
      </w:pPr>
      <w:r w:rsidRPr="00003414">
        <w:rPr>
          <w:sz w:val="19"/>
          <w:szCs w:val="19"/>
        </w:rPr>
        <w:t>Price momentum divergence from your R-Star "North Star" baseline (Project Alpha foundation)</w:t>
      </w:r>
    </w:p>
    <w:p w14:paraId="33C7D8A3" w14:textId="77777777" w:rsidR="00B54949" w:rsidRPr="00003414" w:rsidRDefault="00B54949" w:rsidP="001F2C6F">
      <w:pPr>
        <w:numPr>
          <w:ilvl w:val="0"/>
          <w:numId w:val="1"/>
        </w:numPr>
        <w:spacing w:line="276" w:lineRule="auto"/>
        <w:jc w:val="both"/>
        <w:rPr>
          <w:sz w:val="19"/>
          <w:szCs w:val="19"/>
        </w:rPr>
      </w:pPr>
      <w:r w:rsidRPr="00003414">
        <w:rPr>
          <w:sz w:val="19"/>
          <w:szCs w:val="19"/>
        </w:rPr>
        <w:t>Volatility regime switching indicators (this fits perfectly with your stochastic volatility clustering work)</w:t>
      </w:r>
    </w:p>
    <w:p w14:paraId="14CEB877" w14:textId="77777777" w:rsidR="00B54949" w:rsidRPr="00003414" w:rsidRDefault="00B54949" w:rsidP="001F2C6F">
      <w:pPr>
        <w:numPr>
          <w:ilvl w:val="0"/>
          <w:numId w:val="1"/>
        </w:numPr>
        <w:spacing w:line="276" w:lineRule="auto"/>
        <w:jc w:val="both"/>
        <w:rPr>
          <w:sz w:val="19"/>
          <w:szCs w:val="19"/>
        </w:rPr>
      </w:pPr>
      <w:r w:rsidRPr="00003414">
        <w:rPr>
          <w:sz w:val="19"/>
          <w:szCs w:val="19"/>
        </w:rPr>
        <w:t>Cross-asset correlation breakdown signals (when traditional diversification fails)</w:t>
      </w:r>
    </w:p>
    <w:p w14:paraId="59875923" w14:textId="77777777" w:rsidR="00B54949" w:rsidRPr="00003414" w:rsidRDefault="00B54949" w:rsidP="001F2C6F">
      <w:pPr>
        <w:spacing w:line="276" w:lineRule="auto"/>
        <w:jc w:val="both"/>
        <w:rPr>
          <w:sz w:val="19"/>
          <w:szCs w:val="19"/>
        </w:rPr>
      </w:pPr>
      <w:r w:rsidRPr="00003414">
        <w:rPr>
          <w:sz w:val="19"/>
          <w:szCs w:val="19"/>
        </w:rPr>
        <w:t xml:space="preserve">The beauty here is </w:t>
      </w:r>
      <w:proofErr w:type="gramStart"/>
      <w:r w:rsidRPr="00003414">
        <w:rPr>
          <w:sz w:val="19"/>
          <w:szCs w:val="19"/>
        </w:rPr>
        <w:t>this feeds</w:t>
      </w:r>
      <w:proofErr w:type="gramEnd"/>
      <w:r w:rsidRPr="00003414">
        <w:rPr>
          <w:sz w:val="19"/>
          <w:szCs w:val="19"/>
        </w:rPr>
        <w:t xml:space="preserve"> directly into your three-tier Project Alpha architecture - you're essentially adding a crisis/euphoria regime overlay.</w:t>
      </w:r>
    </w:p>
    <w:p w14:paraId="38737E7D" w14:textId="77777777" w:rsidR="00B54949" w:rsidRPr="00003414" w:rsidRDefault="00B54949" w:rsidP="001F2C6F">
      <w:pPr>
        <w:spacing w:line="276" w:lineRule="auto"/>
        <w:jc w:val="both"/>
        <w:rPr>
          <w:sz w:val="19"/>
          <w:szCs w:val="19"/>
        </w:rPr>
      </w:pPr>
      <w:r w:rsidRPr="00003414">
        <w:rPr>
          <w:b/>
          <w:bCs/>
          <w:sz w:val="19"/>
          <w:szCs w:val="19"/>
        </w:rPr>
        <w:t>2. Curve Volatility Exploitation</w:t>
      </w:r>
      <w:r w:rsidRPr="00003414">
        <w:rPr>
          <w:sz w:val="19"/>
          <w:szCs w:val="19"/>
        </w:rPr>
        <w:t xml:space="preserve"> During melt-ups, the term structure behaves anomalously:</w:t>
      </w:r>
    </w:p>
    <w:p w14:paraId="41C85508" w14:textId="023BF523" w:rsidR="00B54949" w:rsidRPr="00003414" w:rsidRDefault="00B54949" w:rsidP="001F2C6F">
      <w:pPr>
        <w:numPr>
          <w:ilvl w:val="0"/>
          <w:numId w:val="2"/>
        </w:numPr>
        <w:spacing w:line="276" w:lineRule="auto"/>
        <w:jc w:val="both"/>
        <w:rPr>
          <w:sz w:val="19"/>
          <w:szCs w:val="19"/>
        </w:rPr>
      </w:pPr>
      <w:r w:rsidRPr="00003414">
        <w:rPr>
          <w:b/>
          <w:bCs/>
          <w:sz w:val="19"/>
          <w:szCs w:val="19"/>
        </w:rPr>
        <w:t>Flattening trades</w:t>
      </w:r>
      <w:r w:rsidRPr="00003414">
        <w:rPr>
          <w:sz w:val="19"/>
          <w:szCs w:val="19"/>
        </w:rPr>
        <w:t xml:space="preserve">: Short-end anchored by policy expectations while long-end driven by euphoria creates compression </w:t>
      </w:r>
      <w:r w:rsidR="00326320" w:rsidRPr="00003414">
        <w:rPr>
          <w:sz w:val="19"/>
          <w:szCs w:val="19"/>
        </w:rPr>
        <w:t>opportunities.</w:t>
      </w:r>
    </w:p>
    <w:p w14:paraId="3D72E2A8" w14:textId="6912CB9B" w:rsidR="00B54949" w:rsidRPr="00003414" w:rsidRDefault="00B54949" w:rsidP="001F2C6F">
      <w:pPr>
        <w:numPr>
          <w:ilvl w:val="0"/>
          <w:numId w:val="2"/>
        </w:numPr>
        <w:spacing w:line="276" w:lineRule="auto"/>
        <w:jc w:val="both"/>
        <w:rPr>
          <w:sz w:val="19"/>
          <w:szCs w:val="19"/>
        </w:rPr>
      </w:pPr>
      <w:r w:rsidRPr="00003414">
        <w:rPr>
          <w:b/>
          <w:bCs/>
          <w:sz w:val="19"/>
          <w:szCs w:val="19"/>
        </w:rPr>
        <w:t>Realized vs implied vol spread</w:t>
      </w:r>
      <w:r w:rsidRPr="00003414">
        <w:rPr>
          <w:sz w:val="19"/>
          <w:szCs w:val="19"/>
        </w:rPr>
        <w:t xml:space="preserve">: Your 10Y-2Y volatility strategy would capture the explosion in realized vol as the regime becomes </w:t>
      </w:r>
      <w:r w:rsidR="00326320" w:rsidRPr="00003414">
        <w:rPr>
          <w:sz w:val="19"/>
          <w:szCs w:val="19"/>
        </w:rPr>
        <w:t>unstable.</w:t>
      </w:r>
    </w:p>
    <w:p w14:paraId="7B6E1D32" w14:textId="1CAC0363" w:rsidR="00B54949" w:rsidRPr="00003414" w:rsidRDefault="00B54949" w:rsidP="001F2C6F">
      <w:pPr>
        <w:numPr>
          <w:ilvl w:val="0"/>
          <w:numId w:val="2"/>
        </w:numPr>
        <w:spacing w:line="276" w:lineRule="auto"/>
        <w:jc w:val="both"/>
        <w:rPr>
          <w:sz w:val="19"/>
          <w:szCs w:val="19"/>
        </w:rPr>
      </w:pPr>
      <w:r w:rsidRPr="00003414">
        <w:rPr>
          <w:b/>
          <w:bCs/>
          <w:sz w:val="19"/>
          <w:szCs w:val="19"/>
        </w:rPr>
        <w:t>Curve butterfly strategies</w:t>
      </w:r>
      <w:r w:rsidRPr="00003414">
        <w:rPr>
          <w:sz w:val="19"/>
          <w:szCs w:val="19"/>
        </w:rPr>
        <w:t xml:space="preserve">: The belly often gets </w:t>
      </w:r>
      <w:r w:rsidR="00326320" w:rsidRPr="00003414">
        <w:rPr>
          <w:sz w:val="19"/>
          <w:szCs w:val="19"/>
        </w:rPr>
        <w:t>squeezed</w:t>
      </w:r>
      <w:r w:rsidRPr="00003414">
        <w:rPr>
          <w:sz w:val="19"/>
          <w:szCs w:val="19"/>
        </w:rPr>
        <w:t xml:space="preserve"> during melt-ups - exploit the curvature </w:t>
      </w:r>
      <w:r w:rsidR="00326320" w:rsidRPr="00003414">
        <w:rPr>
          <w:sz w:val="19"/>
          <w:szCs w:val="19"/>
        </w:rPr>
        <w:t>change.</w:t>
      </w:r>
    </w:p>
    <w:p w14:paraId="4A630305" w14:textId="77777777" w:rsidR="00B54949" w:rsidRPr="00003414" w:rsidRDefault="00B54949" w:rsidP="001F2C6F">
      <w:pPr>
        <w:spacing w:line="276" w:lineRule="auto"/>
        <w:jc w:val="both"/>
        <w:rPr>
          <w:sz w:val="19"/>
          <w:szCs w:val="19"/>
        </w:rPr>
      </w:pPr>
      <w:r w:rsidRPr="00003414">
        <w:rPr>
          <w:b/>
          <w:bCs/>
          <w:sz w:val="19"/>
          <w:szCs w:val="19"/>
        </w:rPr>
        <w:t>3. Convexity Positioning</w:t>
      </w:r>
      <w:r w:rsidRPr="00003414">
        <w:rPr>
          <w:sz w:val="19"/>
          <w:szCs w:val="19"/>
        </w:rPr>
        <w:t xml:space="preserve"> This is where it gets interesting for systematic macro:</w:t>
      </w:r>
    </w:p>
    <w:p w14:paraId="5377BA65" w14:textId="40630AD5" w:rsidR="00B54949" w:rsidRPr="00003414" w:rsidRDefault="00B54949" w:rsidP="001F2C6F">
      <w:pPr>
        <w:spacing w:line="276" w:lineRule="auto"/>
        <w:jc w:val="both"/>
        <w:rPr>
          <w:sz w:val="19"/>
          <w:szCs w:val="19"/>
        </w:rPr>
      </w:pPr>
      <w:r w:rsidRPr="00003414">
        <w:rPr>
          <w:b/>
          <w:bCs/>
          <w:sz w:val="19"/>
          <w:szCs w:val="19"/>
        </w:rPr>
        <w:t>Long volatility structures</w:t>
      </w:r>
      <w:r w:rsidRPr="00003414">
        <w:rPr>
          <w:sz w:val="19"/>
          <w:szCs w:val="19"/>
        </w:rPr>
        <w:t xml:space="preserve">: Straddles/strangles on rate products that benefit from regime break (either continuation or reversal). </w:t>
      </w:r>
      <w:r w:rsidR="00326320" w:rsidRPr="00003414">
        <w:rPr>
          <w:sz w:val="19"/>
          <w:szCs w:val="19"/>
        </w:rPr>
        <w:t>We are</w:t>
      </w:r>
      <w:r w:rsidRPr="00003414">
        <w:rPr>
          <w:sz w:val="19"/>
          <w:szCs w:val="19"/>
        </w:rPr>
        <w:t xml:space="preserve"> not predicting direction</w:t>
      </w:r>
      <w:r w:rsidR="00326320" w:rsidRPr="00003414">
        <w:rPr>
          <w:sz w:val="19"/>
          <w:szCs w:val="19"/>
        </w:rPr>
        <w:t>, as we a</w:t>
      </w:r>
      <w:r w:rsidRPr="00003414">
        <w:rPr>
          <w:sz w:val="19"/>
          <w:szCs w:val="19"/>
        </w:rPr>
        <w:t xml:space="preserve">re </w:t>
      </w:r>
      <w:r w:rsidR="00326320" w:rsidRPr="00003414">
        <w:rPr>
          <w:sz w:val="19"/>
          <w:szCs w:val="19"/>
        </w:rPr>
        <w:t xml:space="preserve">essentially </w:t>
      </w:r>
      <w:r w:rsidRPr="00003414">
        <w:rPr>
          <w:sz w:val="19"/>
          <w:szCs w:val="19"/>
        </w:rPr>
        <w:t xml:space="preserve">exploiting the elevated probability of </w:t>
      </w:r>
      <w:r w:rsidRPr="00003414">
        <w:rPr>
          <w:i/>
          <w:iCs/>
          <w:sz w:val="19"/>
          <w:szCs w:val="19"/>
        </w:rPr>
        <w:t>movement</w:t>
      </w:r>
      <w:r w:rsidRPr="00003414">
        <w:rPr>
          <w:sz w:val="19"/>
          <w:szCs w:val="19"/>
        </w:rPr>
        <w:t>.</w:t>
      </w:r>
    </w:p>
    <w:p w14:paraId="33369DE4" w14:textId="0301A156" w:rsidR="00B54949" w:rsidRPr="00003414" w:rsidRDefault="00B54949" w:rsidP="001F2C6F">
      <w:pPr>
        <w:spacing w:line="276" w:lineRule="auto"/>
        <w:jc w:val="both"/>
        <w:rPr>
          <w:sz w:val="19"/>
          <w:szCs w:val="19"/>
        </w:rPr>
      </w:pPr>
      <w:r w:rsidRPr="00003414">
        <w:rPr>
          <w:b/>
          <w:bCs/>
          <w:sz w:val="19"/>
          <w:szCs w:val="19"/>
        </w:rPr>
        <w:t>Tail hedges with positive carry</w:t>
      </w:r>
      <w:r w:rsidRPr="00003414">
        <w:rPr>
          <w:sz w:val="19"/>
          <w:szCs w:val="19"/>
        </w:rPr>
        <w:t xml:space="preserve">: OTM swaptions that capture curve steepening when the melt-up </w:t>
      </w:r>
      <w:r w:rsidR="0025037F" w:rsidRPr="00003414">
        <w:rPr>
          <w:sz w:val="19"/>
          <w:szCs w:val="19"/>
        </w:rPr>
        <w:t>reverses but</w:t>
      </w:r>
      <w:r w:rsidRPr="00003414">
        <w:rPr>
          <w:sz w:val="19"/>
          <w:szCs w:val="19"/>
        </w:rPr>
        <w:t xml:space="preserve"> structured to minimize bleed during the melt-up phase.</w:t>
      </w:r>
    </w:p>
    <w:p w14:paraId="51540E91" w14:textId="77777777" w:rsidR="00B54949" w:rsidRPr="00003414" w:rsidRDefault="00B54949" w:rsidP="001F2C6F">
      <w:pPr>
        <w:spacing w:line="276" w:lineRule="auto"/>
        <w:jc w:val="both"/>
        <w:rPr>
          <w:sz w:val="19"/>
          <w:szCs w:val="19"/>
        </w:rPr>
      </w:pPr>
      <w:r w:rsidRPr="00003414">
        <w:rPr>
          <w:b/>
          <w:bCs/>
          <w:sz w:val="19"/>
          <w:szCs w:val="19"/>
        </w:rPr>
        <w:t>Dynamic gamma exposure</w:t>
      </w:r>
      <w:r w:rsidRPr="00003414">
        <w:rPr>
          <w:sz w:val="19"/>
          <w:szCs w:val="19"/>
        </w:rPr>
        <w:t>: Systematically rebalance delta to harvest gamma as realized vol spikes. This ties into your particle filter framework - use the SMC algorithms to continuously update optimal hedge ratios.</w:t>
      </w:r>
    </w:p>
    <w:p w14:paraId="1B9A6B08" w14:textId="77777777" w:rsidR="0025037F" w:rsidRPr="00003414" w:rsidRDefault="0025037F" w:rsidP="001F2C6F">
      <w:pPr>
        <w:pBdr>
          <w:bottom w:val="single" w:sz="4" w:space="1" w:color="auto"/>
        </w:pBdr>
        <w:spacing w:line="276" w:lineRule="auto"/>
        <w:jc w:val="both"/>
        <w:rPr>
          <w:sz w:val="19"/>
          <w:szCs w:val="19"/>
        </w:rPr>
      </w:pPr>
    </w:p>
    <w:p w14:paraId="20BFA93E" w14:textId="77777777" w:rsidR="00B54949" w:rsidRPr="00B54949" w:rsidRDefault="00B54949" w:rsidP="001F2C6F">
      <w:pPr>
        <w:spacing w:line="276" w:lineRule="auto"/>
        <w:jc w:val="both"/>
        <w:rPr>
          <w:b/>
          <w:bCs/>
        </w:rPr>
      </w:pPr>
      <w:r w:rsidRPr="00B54949">
        <w:rPr>
          <w:b/>
          <w:bCs/>
        </w:rPr>
        <w:t>Systematic Implementation</w:t>
      </w:r>
    </w:p>
    <w:p w14:paraId="73CC7DD2" w14:textId="55CF4614" w:rsidR="00B54949" w:rsidRPr="00003414" w:rsidRDefault="00B54949" w:rsidP="001F2C6F">
      <w:pPr>
        <w:spacing w:line="276" w:lineRule="auto"/>
        <w:ind w:left="568"/>
        <w:jc w:val="both"/>
        <w:rPr>
          <w:rFonts w:ascii="Aptos Narrow" w:hAnsi="Aptos Narrow"/>
          <w:sz w:val="20"/>
          <w:szCs w:val="20"/>
        </w:rPr>
      </w:pPr>
      <w:r w:rsidRPr="00003414">
        <w:rPr>
          <w:rFonts w:ascii="Aptos Narrow" w:hAnsi="Aptos Narrow"/>
          <w:sz w:val="20"/>
          <w:szCs w:val="20"/>
        </w:rPr>
        <w:t>IF melt-up_re</w:t>
      </w:r>
      <w:r w:rsidR="00003414" w:rsidRPr="00003414">
        <w:rPr>
          <w:rFonts w:ascii="Aptos Narrow" w:hAnsi="Aptos Narrow"/>
          <w:sz w:val="20"/>
          <w:szCs w:val="20"/>
        </w:rPr>
        <w:t>g</w:t>
      </w:r>
      <w:r w:rsidRPr="00003414">
        <w:rPr>
          <w:rFonts w:ascii="Aptos Narrow" w:hAnsi="Aptos Narrow"/>
          <w:sz w:val="20"/>
          <w:szCs w:val="20"/>
        </w:rPr>
        <w:t>ime_probability &gt; threshold THEN:</w:t>
      </w:r>
      <w:r w:rsidR="0025037F" w:rsidRPr="00003414">
        <w:rPr>
          <w:rFonts w:ascii="Aptos Narrow" w:hAnsi="Aptos Narrow"/>
          <w:sz w:val="20"/>
          <w:szCs w:val="20"/>
        </w:rPr>
        <w:t xml:space="preserve"> </w:t>
      </w:r>
    </w:p>
    <w:p w14:paraId="6A3078CE" w14:textId="10186738" w:rsidR="00EC4BCC" w:rsidRPr="00003414" w:rsidRDefault="00B54949" w:rsidP="001F2C6F">
      <w:pPr>
        <w:pStyle w:val="ListParagraph"/>
        <w:numPr>
          <w:ilvl w:val="0"/>
          <w:numId w:val="10"/>
        </w:numPr>
        <w:spacing w:line="276" w:lineRule="auto"/>
        <w:ind w:left="852" w:hanging="284"/>
        <w:jc w:val="both"/>
        <w:rPr>
          <w:rFonts w:ascii="Aptos Narrow" w:hAnsi="Aptos Narrow"/>
          <w:sz w:val="20"/>
          <w:szCs w:val="20"/>
        </w:rPr>
      </w:pPr>
      <w:r w:rsidRPr="00003414">
        <w:rPr>
          <w:rFonts w:ascii="Aptos Narrow" w:hAnsi="Aptos Narrow"/>
          <w:sz w:val="20"/>
          <w:szCs w:val="20"/>
        </w:rPr>
        <w:t xml:space="preserve">INCREASE curve volatility </w:t>
      </w:r>
      <w:r w:rsidR="00326320" w:rsidRPr="00003414">
        <w:rPr>
          <w:rFonts w:ascii="Aptos Narrow" w:hAnsi="Aptos Narrow"/>
          <w:sz w:val="20"/>
          <w:szCs w:val="20"/>
        </w:rPr>
        <w:t>allocation.</w:t>
      </w:r>
      <w:r w:rsidR="00EC4BCC" w:rsidRPr="00003414">
        <w:rPr>
          <w:rFonts w:ascii="Aptos Narrow" w:hAnsi="Aptos Narrow"/>
          <w:sz w:val="20"/>
          <w:szCs w:val="20"/>
        </w:rPr>
        <w:t xml:space="preserve"> </w:t>
      </w:r>
    </w:p>
    <w:p w14:paraId="5C96765D" w14:textId="77777777" w:rsidR="00EC4BCC" w:rsidRPr="00003414" w:rsidRDefault="00B54949" w:rsidP="001F2C6F">
      <w:pPr>
        <w:pStyle w:val="ListParagraph"/>
        <w:numPr>
          <w:ilvl w:val="0"/>
          <w:numId w:val="8"/>
        </w:numPr>
        <w:spacing w:line="276" w:lineRule="auto"/>
        <w:ind w:left="994"/>
        <w:jc w:val="both"/>
        <w:rPr>
          <w:rFonts w:ascii="Aptos Narrow" w:hAnsi="Aptos Narrow"/>
          <w:sz w:val="20"/>
          <w:szCs w:val="20"/>
        </w:rPr>
      </w:pPr>
      <w:r w:rsidRPr="00003414">
        <w:rPr>
          <w:rFonts w:ascii="Aptos Narrow" w:hAnsi="Aptos Narrow"/>
          <w:sz w:val="20"/>
          <w:szCs w:val="20"/>
        </w:rPr>
        <w:lastRenderedPageBreak/>
        <w:t>Long realized vol vs implied vol spreads</w:t>
      </w:r>
      <w:r w:rsidR="00EC4BCC" w:rsidRPr="00003414">
        <w:rPr>
          <w:rFonts w:ascii="Aptos Narrow" w:hAnsi="Aptos Narrow"/>
          <w:sz w:val="20"/>
          <w:szCs w:val="20"/>
        </w:rPr>
        <w:t xml:space="preserve"> </w:t>
      </w:r>
    </w:p>
    <w:p w14:paraId="0AF34FCD" w14:textId="2046F0F4" w:rsidR="00B54949" w:rsidRPr="00003414" w:rsidRDefault="00B54949" w:rsidP="001F2C6F">
      <w:pPr>
        <w:pStyle w:val="ListParagraph"/>
        <w:numPr>
          <w:ilvl w:val="0"/>
          <w:numId w:val="8"/>
        </w:numPr>
        <w:spacing w:line="276" w:lineRule="auto"/>
        <w:ind w:left="994"/>
        <w:jc w:val="both"/>
        <w:rPr>
          <w:rFonts w:ascii="Aptos Narrow" w:hAnsi="Aptos Narrow"/>
          <w:sz w:val="20"/>
          <w:szCs w:val="20"/>
        </w:rPr>
      </w:pPr>
      <w:r w:rsidRPr="00003414">
        <w:rPr>
          <w:rFonts w:ascii="Aptos Narrow" w:hAnsi="Aptos Narrow"/>
          <w:sz w:val="20"/>
          <w:szCs w:val="20"/>
        </w:rPr>
        <w:t>Tactical 10Y-2Y vol strategies (your existing framework)</w:t>
      </w:r>
      <w:r w:rsidR="0025037F" w:rsidRPr="00003414">
        <w:rPr>
          <w:rFonts w:ascii="Aptos Narrow" w:hAnsi="Aptos Narrow"/>
          <w:sz w:val="20"/>
          <w:szCs w:val="20"/>
        </w:rPr>
        <w:t xml:space="preserve"> </w:t>
      </w:r>
    </w:p>
    <w:p w14:paraId="6F51312A" w14:textId="77777777" w:rsidR="009D4A33" w:rsidRPr="00003414" w:rsidRDefault="00B54949" w:rsidP="001F2C6F">
      <w:pPr>
        <w:spacing w:line="276" w:lineRule="auto"/>
        <w:ind w:left="852" w:hanging="284"/>
        <w:jc w:val="both"/>
        <w:rPr>
          <w:rFonts w:ascii="Aptos Narrow" w:hAnsi="Aptos Narrow"/>
          <w:sz w:val="20"/>
          <w:szCs w:val="20"/>
        </w:rPr>
      </w:pPr>
      <w:r w:rsidRPr="00003414">
        <w:rPr>
          <w:rFonts w:ascii="Aptos Narrow" w:hAnsi="Aptos Narrow"/>
          <w:sz w:val="20"/>
          <w:szCs w:val="20"/>
        </w:rPr>
        <w:t>2. POSITION for convexity</w:t>
      </w:r>
      <w:r w:rsidR="009D4A33" w:rsidRPr="00003414">
        <w:rPr>
          <w:rFonts w:ascii="Aptos Narrow" w:hAnsi="Aptos Narrow"/>
          <w:sz w:val="20"/>
          <w:szCs w:val="20"/>
        </w:rPr>
        <w:t xml:space="preserve"> </w:t>
      </w:r>
    </w:p>
    <w:p w14:paraId="4A8C0D4C" w14:textId="50E2155A" w:rsidR="009D4A33" w:rsidRPr="00003414" w:rsidRDefault="00B54949" w:rsidP="001F2C6F">
      <w:pPr>
        <w:pStyle w:val="ListParagraph"/>
        <w:numPr>
          <w:ilvl w:val="0"/>
          <w:numId w:val="8"/>
        </w:numPr>
        <w:spacing w:line="276" w:lineRule="auto"/>
        <w:ind w:left="994"/>
        <w:jc w:val="both"/>
        <w:rPr>
          <w:rFonts w:ascii="Aptos Narrow" w:hAnsi="Aptos Narrow"/>
          <w:sz w:val="20"/>
          <w:szCs w:val="20"/>
        </w:rPr>
      </w:pPr>
      <w:r w:rsidRPr="00003414">
        <w:rPr>
          <w:rFonts w:ascii="Aptos Narrow" w:hAnsi="Aptos Narrow"/>
          <w:sz w:val="20"/>
          <w:szCs w:val="20"/>
        </w:rPr>
        <w:t xml:space="preserve">Scale into OTM tail hedges on curve </w:t>
      </w:r>
      <w:r w:rsidR="00326320" w:rsidRPr="00003414">
        <w:rPr>
          <w:rFonts w:ascii="Aptos Narrow" w:hAnsi="Aptos Narrow"/>
          <w:sz w:val="20"/>
          <w:szCs w:val="20"/>
        </w:rPr>
        <w:t>steepening!</w:t>
      </w:r>
      <w:r w:rsidR="009D4A33" w:rsidRPr="00003414">
        <w:rPr>
          <w:rFonts w:ascii="Aptos Narrow" w:hAnsi="Aptos Narrow"/>
          <w:sz w:val="20"/>
          <w:szCs w:val="20"/>
        </w:rPr>
        <w:t xml:space="preserve"> </w:t>
      </w:r>
    </w:p>
    <w:p w14:paraId="3552B340" w14:textId="14A7690F" w:rsidR="00B54949" w:rsidRPr="00003414" w:rsidRDefault="00B54949" w:rsidP="001F2C6F">
      <w:pPr>
        <w:pStyle w:val="ListParagraph"/>
        <w:numPr>
          <w:ilvl w:val="0"/>
          <w:numId w:val="8"/>
        </w:numPr>
        <w:spacing w:line="276" w:lineRule="auto"/>
        <w:ind w:left="994"/>
        <w:jc w:val="both"/>
        <w:rPr>
          <w:rFonts w:ascii="Aptos Narrow" w:hAnsi="Aptos Narrow"/>
          <w:sz w:val="20"/>
          <w:szCs w:val="20"/>
        </w:rPr>
      </w:pPr>
      <w:r w:rsidRPr="00003414">
        <w:rPr>
          <w:rFonts w:ascii="Aptos Narrow" w:hAnsi="Aptos Narrow"/>
          <w:sz w:val="20"/>
          <w:szCs w:val="20"/>
        </w:rPr>
        <w:t>Reduce linear beta, increase gamma exposure</w:t>
      </w:r>
      <w:r w:rsidR="00326320" w:rsidRPr="00003414">
        <w:rPr>
          <w:rFonts w:ascii="Aptos Narrow" w:hAnsi="Aptos Narrow"/>
          <w:sz w:val="20"/>
          <w:szCs w:val="20"/>
        </w:rPr>
        <w:t>!</w:t>
      </w:r>
    </w:p>
    <w:p w14:paraId="71A45049" w14:textId="77777777" w:rsidR="009D4A33" w:rsidRPr="00003414" w:rsidRDefault="00B54949" w:rsidP="001F2C6F">
      <w:pPr>
        <w:spacing w:line="276" w:lineRule="auto"/>
        <w:ind w:left="568"/>
        <w:jc w:val="both"/>
        <w:rPr>
          <w:rFonts w:ascii="Aptos Narrow" w:hAnsi="Aptos Narrow"/>
          <w:sz w:val="20"/>
          <w:szCs w:val="20"/>
        </w:rPr>
      </w:pPr>
      <w:r w:rsidRPr="00003414">
        <w:rPr>
          <w:rFonts w:ascii="Aptos Narrow" w:hAnsi="Aptos Narrow"/>
          <w:sz w:val="20"/>
          <w:szCs w:val="20"/>
        </w:rPr>
        <w:t>3. TIGHTEN stops on momentum strategies</w:t>
      </w:r>
      <w:r w:rsidR="009D4A33" w:rsidRPr="00003414">
        <w:rPr>
          <w:rFonts w:ascii="Aptos Narrow" w:hAnsi="Aptos Narrow"/>
          <w:sz w:val="20"/>
          <w:szCs w:val="20"/>
        </w:rPr>
        <w:t xml:space="preserve"> </w:t>
      </w:r>
    </w:p>
    <w:p w14:paraId="53AA6E81" w14:textId="0F3D6033" w:rsidR="009D4A33" w:rsidRPr="00003414" w:rsidRDefault="00B54949" w:rsidP="001F2C6F">
      <w:pPr>
        <w:pStyle w:val="ListParagraph"/>
        <w:numPr>
          <w:ilvl w:val="0"/>
          <w:numId w:val="8"/>
        </w:numPr>
        <w:spacing w:line="276" w:lineRule="auto"/>
        <w:ind w:left="994"/>
        <w:jc w:val="both"/>
        <w:rPr>
          <w:rFonts w:ascii="Aptos Narrow" w:hAnsi="Aptos Narrow"/>
          <w:sz w:val="20"/>
          <w:szCs w:val="20"/>
        </w:rPr>
      </w:pPr>
      <w:r w:rsidRPr="00003414">
        <w:rPr>
          <w:rFonts w:ascii="Aptos Narrow" w:hAnsi="Aptos Narrow"/>
          <w:sz w:val="20"/>
          <w:szCs w:val="20"/>
        </w:rPr>
        <w:t xml:space="preserve">Recognize gains are "unreliable" per your </w:t>
      </w:r>
      <w:r w:rsidR="00326320" w:rsidRPr="00003414">
        <w:rPr>
          <w:rFonts w:ascii="Aptos Narrow" w:hAnsi="Aptos Narrow"/>
          <w:sz w:val="20"/>
          <w:szCs w:val="20"/>
        </w:rPr>
        <w:t>analysis!</w:t>
      </w:r>
      <w:r w:rsidR="009D4A33" w:rsidRPr="00003414">
        <w:rPr>
          <w:rFonts w:ascii="Aptos Narrow" w:hAnsi="Aptos Narrow"/>
          <w:sz w:val="20"/>
          <w:szCs w:val="20"/>
        </w:rPr>
        <w:t xml:space="preserve"> </w:t>
      </w:r>
    </w:p>
    <w:p w14:paraId="6121A458" w14:textId="5C609DBE" w:rsidR="00B54949" w:rsidRPr="00003414" w:rsidRDefault="00B54949" w:rsidP="001F2C6F">
      <w:pPr>
        <w:pStyle w:val="ListParagraph"/>
        <w:numPr>
          <w:ilvl w:val="0"/>
          <w:numId w:val="8"/>
        </w:numPr>
        <w:spacing w:line="276" w:lineRule="auto"/>
        <w:ind w:left="994"/>
        <w:jc w:val="both"/>
        <w:rPr>
          <w:rFonts w:ascii="Aptos Narrow" w:hAnsi="Aptos Narrow"/>
          <w:sz w:val="20"/>
          <w:szCs w:val="20"/>
        </w:rPr>
      </w:pPr>
      <w:r w:rsidRPr="00003414">
        <w:rPr>
          <w:rFonts w:ascii="Aptos Narrow" w:hAnsi="Aptos Narrow"/>
          <w:sz w:val="20"/>
          <w:szCs w:val="20"/>
        </w:rPr>
        <w:t>Implement trailing stops with volatility adjustment</w:t>
      </w:r>
      <w:r w:rsidR="00326320" w:rsidRPr="00003414">
        <w:rPr>
          <w:rFonts w:ascii="Aptos Narrow" w:hAnsi="Aptos Narrow"/>
          <w:sz w:val="20"/>
          <w:szCs w:val="20"/>
        </w:rPr>
        <w:t>.</w:t>
      </w:r>
    </w:p>
    <w:p w14:paraId="472717DA" w14:textId="0E797228" w:rsidR="00B54949" w:rsidRPr="00003414" w:rsidRDefault="00B54949" w:rsidP="001F2C6F">
      <w:pPr>
        <w:spacing w:line="276" w:lineRule="auto"/>
        <w:ind w:left="568"/>
        <w:jc w:val="both"/>
        <w:rPr>
          <w:rFonts w:ascii="Aptos Narrow" w:hAnsi="Aptos Narrow"/>
          <w:sz w:val="20"/>
          <w:szCs w:val="20"/>
        </w:rPr>
      </w:pPr>
      <w:r w:rsidRPr="00003414">
        <w:rPr>
          <w:rFonts w:ascii="Aptos Narrow" w:hAnsi="Aptos Narrow"/>
          <w:sz w:val="20"/>
          <w:szCs w:val="20"/>
        </w:rPr>
        <w:t>4. ACTIVATE crisis alpha protocols</w:t>
      </w:r>
      <w:r w:rsidR="008F066B" w:rsidRPr="00003414">
        <w:rPr>
          <w:rFonts w:ascii="Aptos Narrow" w:hAnsi="Aptos Narrow"/>
          <w:sz w:val="20"/>
          <w:szCs w:val="20"/>
        </w:rPr>
        <w:t xml:space="preserve"> </w:t>
      </w:r>
    </w:p>
    <w:p w14:paraId="41CAEC9F" w14:textId="33B14167" w:rsidR="00B54949" w:rsidRPr="00003414" w:rsidRDefault="00B54949" w:rsidP="001F2C6F">
      <w:pPr>
        <w:pStyle w:val="ListParagraph"/>
        <w:numPr>
          <w:ilvl w:val="0"/>
          <w:numId w:val="8"/>
        </w:numPr>
        <w:spacing w:line="276" w:lineRule="auto"/>
        <w:ind w:left="994"/>
        <w:jc w:val="both"/>
        <w:rPr>
          <w:rFonts w:ascii="Aptos Narrow" w:hAnsi="Aptos Narrow"/>
          <w:sz w:val="20"/>
          <w:szCs w:val="20"/>
        </w:rPr>
      </w:pPr>
      <w:r w:rsidRPr="00003414">
        <w:rPr>
          <w:rFonts w:ascii="Aptos Narrow" w:hAnsi="Aptos Narrow"/>
          <w:sz w:val="20"/>
          <w:szCs w:val="20"/>
        </w:rPr>
        <w:t xml:space="preserve">Pre-position for liquidity </w:t>
      </w:r>
      <w:r w:rsidR="00326320" w:rsidRPr="00003414">
        <w:rPr>
          <w:rFonts w:ascii="Aptos Narrow" w:hAnsi="Aptos Narrow"/>
          <w:sz w:val="20"/>
          <w:szCs w:val="20"/>
        </w:rPr>
        <w:t>events!</w:t>
      </w:r>
      <w:r w:rsidR="008F066B" w:rsidRPr="00003414">
        <w:rPr>
          <w:rFonts w:ascii="Aptos Narrow" w:hAnsi="Aptos Narrow"/>
          <w:sz w:val="20"/>
          <w:szCs w:val="20"/>
        </w:rPr>
        <w:t xml:space="preserve"> </w:t>
      </w:r>
    </w:p>
    <w:p w14:paraId="20E47538" w14:textId="4C97F8DB" w:rsidR="00B54949" w:rsidRPr="00003414" w:rsidRDefault="00B54949" w:rsidP="001F2C6F">
      <w:pPr>
        <w:pStyle w:val="ListParagraph"/>
        <w:numPr>
          <w:ilvl w:val="0"/>
          <w:numId w:val="8"/>
        </w:numPr>
        <w:spacing w:line="276" w:lineRule="auto"/>
        <w:ind w:left="994"/>
        <w:jc w:val="both"/>
        <w:rPr>
          <w:rFonts w:ascii="Aptos Narrow" w:hAnsi="Aptos Narrow"/>
          <w:sz w:val="20"/>
          <w:szCs w:val="20"/>
        </w:rPr>
      </w:pPr>
      <w:r w:rsidRPr="00003414">
        <w:rPr>
          <w:rFonts w:ascii="Aptos Narrow" w:hAnsi="Aptos Narrow"/>
          <w:sz w:val="20"/>
          <w:szCs w:val="20"/>
        </w:rPr>
        <w:t>Cross-asset volatility arbitrage (FX vol vs rates vol)</w:t>
      </w:r>
      <w:r w:rsidR="00326320" w:rsidRPr="00003414">
        <w:rPr>
          <w:rFonts w:ascii="Aptos Narrow" w:hAnsi="Aptos Narrow"/>
          <w:sz w:val="20"/>
          <w:szCs w:val="20"/>
        </w:rPr>
        <w:t xml:space="preserve">. </w:t>
      </w:r>
    </w:p>
    <w:p w14:paraId="045955E9" w14:textId="77777777" w:rsidR="00FD540D" w:rsidRDefault="00FD540D" w:rsidP="001F2C6F">
      <w:pPr>
        <w:pBdr>
          <w:bottom w:val="single" w:sz="4" w:space="1" w:color="auto"/>
        </w:pBdr>
        <w:spacing w:line="276" w:lineRule="auto"/>
        <w:jc w:val="both"/>
        <w:rPr>
          <w:b/>
          <w:bCs/>
        </w:rPr>
      </w:pPr>
    </w:p>
    <w:p w14:paraId="77719692" w14:textId="6377C1F9" w:rsidR="00B54949" w:rsidRPr="00B54949" w:rsidRDefault="00B54949" w:rsidP="001F2C6F">
      <w:pPr>
        <w:spacing w:line="276" w:lineRule="auto"/>
        <w:jc w:val="both"/>
        <w:rPr>
          <w:b/>
          <w:bCs/>
        </w:rPr>
      </w:pPr>
      <w:r w:rsidRPr="00B54949">
        <w:rPr>
          <w:b/>
          <w:bCs/>
        </w:rPr>
        <w:t>Connection to Your Research Program</w:t>
      </w:r>
    </w:p>
    <w:p w14:paraId="5BAA45D7" w14:textId="192AE9D2" w:rsidR="00B54949" w:rsidRPr="00003414" w:rsidRDefault="00B54949" w:rsidP="001F2C6F">
      <w:pPr>
        <w:spacing w:line="276" w:lineRule="auto"/>
        <w:jc w:val="both"/>
        <w:rPr>
          <w:sz w:val="19"/>
          <w:szCs w:val="19"/>
        </w:rPr>
      </w:pPr>
      <w:r w:rsidRPr="00003414">
        <w:rPr>
          <w:sz w:val="19"/>
          <w:szCs w:val="19"/>
        </w:rPr>
        <w:t xml:space="preserve">This fits beautifully into your </w:t>
      </w:r>
      <w:r w:rsidRPr="00003414">
        <w:rPr>
          <w:b/>
          <w:bCs/>
          <w:sz w:val="19"/>
          <w:szCs w:val="19"/>
        </w:rPr>
        <w:t>Project Beta</w:t>
      </w:r>
      <w:r w:rsidRPr="00003414">
        <w:rPr>
          <w:sz w:val="19"/>
          <w:szCs w:val="19"/>
        </w:rPr>
        <w:t xml:space="preserve"> (regime-aware asset allocation) because melt-ups are a distinct regime requiring specific positioning. </w:t>
      </w:r>
      <w:r w:rsidR="00326320" w:rsidRPr="00003414">
        <w:rPr>
          <w:sz w:val="19"/>
          <w:szCs w:val="19"/>
        </w:rPr>
        <w:t>You would</w:t>
      </w:r>
      <w:r w:rsidRPr="00003414">
        <w:rPr>
          <w:sz w:val="19"/>
          <w:szCs w:val="19"/>
        </w:rPr>
        <w:t xml:space="preserve"> use:</w:t>
      </w:r>
    </w:p>
    <w:p w14:paraId="2E462B0A" w14:textId="77777777" w:rsidR="00B54949" w:rsidRPr="00003414" w:rsidRDefault="00B54949" w:rsidP="001F2C6F">
      <w:pPr>
        <w:numPr>
          <w:ilvl w:val="0"/>
          <w:numId w:val="3"/>
        </w:numPr>
        <w:spacing w:line="276" w:lineRule="auto"/>
        <w:jc w:val="both"/>
        <w:rPr>
          <w:sz w:val="19"/>
          <w:szCs w:val="19"/>
        </w:rPr>
      </w:pPr>
      <w:r w:rsidRPr="00003414">
        <w:rPr>
          <w:b/>
          <w:bCs/>
          <w:sz w:val="19"/>
          <w:szCs w:val="19"/>
        </w:rPr>
        <w:t>Julia DSGE models</w:t>
      </w:r>
      <w:r w:rsidRPr="00003414">
        <w:rPr>
          <w:sz w:val="19"/>
          <w:szCs w:val="19"/>
        </w:rPr>
        <w:t xml:space="preserve"> to estimate fundamental R-Star divergence (how far has price moved from equilibrium?)</w:t>
      </w:r>
    </w:p>
    <w:p w14:paraId="54EDE19E" w14:textId="50E1F1F4" w:rsidR="00B54949" w:rsidRPr="00003414" w:rsidRDefault="00B54949" w:rsidP="001F2C6F">
      <w:pPr>
        <w:numPr>
          <w:ilvl w:val="0"/>
          <w:numId w:val="3"/>
        </w:numPr>
        <w:spacing w:line="276" w:lineRule="auto"/>
        <w:jc w:val="both"/>
        <w:rPr>
          <w:sz w:val="19"/>
          <w:szCs w:val="19"/>
        </w:rPr>
      </w:pPr>
      <w:r w:rsidRPr="00003414">
        <w:rPr>
          <w:b/>
          <w:bCs/>
          <w:sz w:val="19"/>
          <w:szCs w:val="19"/>
        </w:rPr>
        <w:t>Python neural networks</w:t>
      </w:r>
      <w:r w:rsidRPr="00003414">
        <w:rPr>
          <w:sz w:val="19"/>
          <w:szCs w:val="19"/>
        </w:rPr>
        <w:t xml:space="preserve"> to pattern-match historical melt-up signatures</w:t>
      </w:r>
      <w:r w:rsidR="00326320" w:rsidRPr="00003414">
        <w:rPr>
          <w:sz w:val="19"/>
          <w:szCs w:val="19"/>
        </w:rPr>
        <w:t>.</w:t>
      </w:r>
    </w:p>
    <w:p w14:paraId="44F55313" w14:textId="23DF8444" w:rsidR="00B54949" w:rsidRPr="00003414" w:rsidRDefault="00B54949" w:rsidP="001F2C6F">
      <w:pPr>
        <w:numPr>
          <w:ilvl w:val="0"/>
          <w:numId w:val="3"/>
        </w:numPr>
        <w:spacing w:line="276" w:lineRule="auto"/>
        <w:jc w:val="both"/>
        <w:rPr>
          <w:sz w:val="19"/>
          <w:szCs w:val="19"/>
        </w:rPr>
      </w:pPr>
      <w:r w:rsidRPr="00003414">
        <w:rPr>
          <w:b/>
          <w:bCs/>
          <w:sz w:val="19"/>
          <w:szCs w:val="19"/>
        </w:rPr>
        <w:t>Particle filters</w:t>
      </w:r>
      <w:r w:rsidRPr="00003414">
        <w:rPr>
          <w:sz w:val="19"/>
          <w:szCs w:val="19"/>
        </w:rPr>
        <w:t xml:space="preserve"> (your Project Gamma validation tools) to continuously update regime probabilities in </w:t>
      </w:r>
      <w:r w:rsidR="00326320" w:rsidRPr="00003414">
        <w:rPr>
          <w:sz w:val="19"/>
          <w:szCs w:val="19"/>
        </w:rPr>
        <w:t>real-time.</w:t>
      </w:r>
    </w:p>
    <w:p w14:paraId="1280D03B" w14:textId="77777777" w:rsidR="00B54949" w:rsidRPr="00B54949" w:rsidRDefault="00B54949" w:rsidP="001F2C6F">
      <w:pPr>
        <w:spacing w:line="276" w:lineRule="auto"/>
        <w:jc w:val="both"/>
        <w:rPr>
          <w:b/>
          <w:bCs/>
        </w:rPr>
      </w:pPr>
      <w:r w:rsidRPr="00B54949">
        <w:rPr>
          <w:b/>
          <w:bCs/>
        </w:rPr>
        <w:t>Practical Constraints with FRED Data</w:t>
      </w:r>
    </w:p>
    <w:p w14:paraId="72C1101E" w14:textId="77777777" w:rsidR="00B54949" w:rsidRPr="00003414" w:rsidRDefault="00B54949" w:rsidP="001F2C6F">
      <w:pPr>
        <w:spacing w:line="276" w:lineRule="auto"/>
        <w:jc w:val="both"/>
        <w:rPr>
          <w:sz w:val="19"/>
          <w:szCs w:val="19"/>
        </w:rPr>
      </w:pPr>
      <w:r w:rsidRPr="00003414">
        <w:rPr>
          <w:sz w:val="19"/>
          <w:szCs w:val="19"/>
        </w:rPr>
        <w:t>Without Bloomberg, you can still execute this using:</w:t>
      </w:r>
    </w:p>
    <w:p w14:paraId="739440F0" w14:textId="1FF02A41" w:rsidR="00B54949" w:rsidRPr="00003414" w:rsidRDefault="00B54949" w:rsidP="001F2C6F">
      <w:pPr>
        <w:numPr>
          <w:ilvl w:val="0"/>
          <w:numId w:val="4"/>
        </w:numPr>
        <w:spacing w:line="276" w:lineRule="auto"/>
        <w:jc w:val="both"/>
        <w:rPr>
          <w:sz w:val="19"/>
          <w:szCs w:val="19"/>
        </w:rPr>
      </w:pPr>
      <w:r w:rsidRPr="00003414">
        <w:rPr>
          <w:sz w:val="19"/>
          <w:szCs w:val="19"/>
        </w:rPr>
        <w:t xml:space="preserve">FRED for Treasury yields and constructing synthetic curve volatility </w:t>
      </w:r>
      <w:r w:rsidR="00326320" w:rsidRPr="00003414">
        <w:rPr>
          <w:sz w:val="19"/>
          <w:szCs w:val="19"/>
        </w:rPr>
        <w:t>measures.</w:t>
      </w:r>
    </w:p>
    <w:p w14:paraId="198C22B6" w14:textId="5B91B530" w:rsidR="00B54949" w:rsidRPr="00003414" w:rsidRDefault="00B54949" w:rsidP="001F2C6F">
      <w:pPr>
        <w:numPr>
          <w:ilvl w:val="0"/>
          <w:numId w:val="4"/>
        </w:numPr>
        <w:spacing w:line="276" w:lineRule="auto"/>
        <w:jc w:val="both"/>
        <w:rPr>
          <w:sz w:val="19"/>
          <w:szCs w:val="19"/>
        </w:rPr>
      </w:pPr>
      <w:r w:rsidRPr="00003414">
        <w:rPr>
          <w:sz w:val="19"/>
          <w:szCs w:val="19"/>
        </w:rPr>
        <w:t>CME data for futures implied volatility</w:t>
      </w:r>
      <w:r w:rsidR="00326320" w:rsidRPr="00003414">
        <w:rPr>
          <w:sz w:val="19"/>
          <w:szCs w:val="19"/>
        </w:rPr>
        <w:t>.</w:t>
      </w:r>
    </w:p>
    <w:p w14:paraId="301C6CC5" w14:textId="7FE0C767" w:rsidR="00B54949" w:rsidRPr="00003414" w:rsidRDefault="00B54949" w:rsidP="001F2C6F">
      <w:pPr>
        <w:numPr>
          <w:ilvl w:val="0"/>
          <w:numId w:val="4"/>
        </w:numPr>
        <w:spacing w:line="276" w:lineRule="auto"/>
        <w:jc w:val="both"/>
        <w:rPr>
          <w:sz w:val="19"/>
          <w:szCs w:val="19"/>
        </w:rPr>
      </w:pPr>
      <w:r w:rsidRPr="00003414">
        <w:rPr>
          <w:sz w:val="19"/>
          <w:szCs w:val="19"/>
        </w:rPr>
        <w:t>Your SOFR framework as the policy anchor for detecting divergence</w:t>
      </w:r>
      <w:r w:rsidR="00326320" w:rsidRPr="00003414">
        <w:rPr>
          <w:sz w:val="19"/>
          <w:szCs w:val="19"/>
        </w:rPr>
        <w:t>.</w:t>
      </w:r>
    </w:p>
    <w:p w14:paraId="4D859470" w14:textId="77777777" w:rsidR="00B54949" w:rsidRPr="00003414" w:rsidRDefault="00B54949" w:rsidP="001F2C6F">
      <w:pPr>
        <w:spacing w:line="276" w:lineRule="auto"/>
        <w:jc w:val="both"/>
        <w:rPr>
          <w:sz w:val="19"/>
          <w:szCs w:val="19"/>
        </w:rPr>
      </w:pPr>
      <w:r w:rsidRPr="00003414">
        <w:rPr>
          <w:sz w:val="19"/>
          <w:szCs w:val="19"/>
        </w:rPr>
        <w:t>The challenge is getting intraday realized vol, but you can approximate with daily data and focus on slightly longer timeframes (days/weeks rather than hours).</w:t>
      </w:r>
    </w:p>
    <w:p w14:paraId="189C627C" w14:textId="77777777" w:rsidR="00B54949" w:rsidRPr="00B54949" w:rsidRDefault="00B54949" w:rsidP="001F2C6F">
      <w:pPr>
        <w:spacing w:line="276" w:lineRule="auto"/>
        <w:jc w:val="both"/>
        <w:rPr>
          <w:b/>
          <w:bCs/>
        </w:rPr>
      </w:pPr>
      <w:r w:rsidRPr="00B54949">
        <w:rPr>
          <w:b/>
          <w:bCs/>
        </w:rPr>
        <w:t>Risk Management Integration</w:t>
      </w:r>
    </w:p>
    <w:p w14:paraId="427AE1B3" w14:textId="77777777" w:rsidR="00B54949" w:rsidRPr="001F2C6F" w:rsidRDefault="00B54949" w:rsidP="001F2C6F">
      <w:pPr>
        <w:spacing w:line="276" w:lineRule="auto"/>
        <w:jc w:val="both"/>
        <w:rPr>
          <w:sz w:val="19"/>
          <w:szCs w:val="19"/>
        </w:rPr>
      </w:pPr>
      <w:r w:rsidRPr="001F2C6F">
        <w:rPr>
          <w:sz w:val="19"/>
          <w:szCs w:val="19"/>
        </w:rPr>
        <w:t xml:space="preserve">Key principle: </w:t>
      </w:r>
      <w:r w:rsidRPr="001F2C6F">
        <w:rPr>
          <w:b/>
          <w:bCs/>
          <w:sz w:val="19"/>
          <w:szCs w:val="19"/>
        </w:rPr>
        <w:t>During melt-ups, conventional risk metrics break down</w:t>
      </w:r>
      <w:r w:rsidRPr="001F2C6F">
        <w:rPr>
          <w:sz w:val="19"/>
          <w:szCs w:val="19"/>
        </w:rPr>
        <w:t>. Your systematic strategy should:</w:t>
      </w:r>
    </w:p>
    <w:p w14:paraId="7F3161C5" w14:textId="4E42C548" w:rsidR="00B54949" w:rsidRPr="001F2C6F" w:rsidRDefault="00B54949" w:rsidP="001F2C6F">
      <w:pPr>
        <w:numPr>
          <w:ilvl w:val="0"/>
          <w:numId w:val="5"/>
        </w:numPr>
        <w:spacing w:line="276" w:lineRule="auto"/>
        <w:jc w:val="both"/>
        <w:rPr>
          <w:sz w:val="19"/>
          <w:szCs w:val="19"/>
        </w:rPr>
      </w:pPr>
      <w:r w:rsidRPr="001F2C6F">
        <w:rPr>
          <w:sz w:val="19"/>
          <w:szCs w:val="19"/>
        </w:rPr>
        <w:t>De-weight backward-looking correlations</w:t>
      </w:r>
      <w:r w:rsidR="00FD540D" w:rsidRPr="001F2C6F">
        <w:rPr>
          <w:sz w:val="19"/>
          <w:szCs w:val="19"/>
        </w:rPr>
        <w:t xml:space="preserve"> </w:t>
      </w:r>
    </w:p>
    <w:p w14:paraId="2480C94A" w14:textId="77777777" w:rsidR="00B54949" w:rsidRPr="001F2C6F" w:rsidRDefault="00B54949" w:rsidP="001F2C6F">
      <w:pPr>
        <w:numPr>
          <w:ilvl w:val="0"/>
          <w:numId w:val="5"/>
        </w:numPr>
        <w:spacing w:line="276" w:lineRule="auto"/>
        <w:jc w:val="both"/>
        <w:rPr>
          <w:sz w:val="19"/>
          <w:szCs w:val="19"/>
        </w:rPr>
      </w:pPr>
      <w:r w:rsidRPr="001F2C6F">
        <w:rPr>
          <w:sz w:val="19"/>
          <w:szCs w:val="19"/>
        </w:rPr>
        <w:t>Increase position size limits for volatility strategies (regime-dependent risk budgets)</w:t>
      </w:r>
    </w:p>
    <w:p w14:paraId="7BB6E622" w14:textId="2E39862E" w:rsidR="00B54949" w:rsidRPr="001F2C6F" w:rsidRDefault="00B54949" w:rsidP="001F2C6F">
      <w:pPr>
        <w:numPr>
          <w:ilvl w:val="0"/>
          <w:numId w:val="5"/>
        </w:numPr>
        <w:spacing w:line="276" w:lineRule="auto"/>
        <w:jc w:val="both"/>
        <w:rPr>
          <w:sz w:val="19"/>
          <w:szCs w:val="19"/>
        </w:rPr>
      </w:pPr>
      <w:r w:rsidRPr="001F2C6F">
        <w:rPr>
          <w:sz w:val="19"/>
          <w:szCs w:val="19"/>
        </w:rPr>
        <w:t>Implement scenario-based stress testing rather than VaR</w:t>
      </w:r>
      <w:r w:rsidR="00326320" w:rsidRPr="001F2C6F">
        <w:rPr>
          <w:sz w:val="19"/>
          <w:szCs w:val="19"/>
        </w:rPr>
        <w:t>.</w:t>
      </w:r>
    </w:p>
    <w:p w14:paraId="32A7A6C8" w14:textId="5B3D7144" w:rsidR="00B54949" w:rsidRPr="001F2C6F" w:rsidRDefault="00B54949" w:rsidP="001F2C6F">
      <w:pPr>
        <w:spacing w:line="276" w:lineRule="auto"/>
        <w:jc w:val="both"/>
        <w:rPr>
          <w:sz w:val="19"/>
          <w:szCs w:val="19"/>
        </w:rPr>
      </w:pPr>
      <w:r w:rsidRPr="001F2C6F">
        <w:rPr>
          <w:sz w:val="19"/>
          <w:szCs w:val="19"/>
        </w:rPr>
        <w:lastRenderedPageBreak/>
        <w:t xml:space="preserve">This is ultimately about being </w:t>
      </w:r>
      <w:r w:rsidRPr="001F2C6F">
        <w:rPr>
          <w:b/>
          <w:bCs/>
          <w:sz w:val="19"/>
          <w:szCs w:val="19"/>
        </w:rPr>
        <w:t>long optionality during periods of regime uncertainty</w:t>
      </w:r>
      <w:r w:rsidRPr="001F2C6F">
        <w:rPr>
          <w:sz w:val="19"/>
          <w:szCs w:val="19"/>
        </w:rPr>
        <w:t xml:space="preserve">, which is exactly what melt-ups represent. </w:t>
      </w:r>
      <w:r w:rsidR="00326320" w:rsidRPr="001F2C6F">
        <w:rPr>
          <w:sz w:val="19"/>
          <w:szCs w:val="19"/>
        </w:rPr>
        <w:t>You are</w:t>
      </w:r>
      <w:r w:rsidRPr="001F2C6F">
        <w:rPr>
          <w:sz w:val="19"/>
          <w:szCs w:val="19"/>
        </w:rPr>
        <w:t xml:space="preserve"> not trying to call the top </w:t>
      </w:r>
      <w:r w:rsidR="00326320" w:rsidRPr="001F2C6F">
        <w:rPr>
          <w:sz w:val="19"/>
          <w:szCs w:val="19"/>
        </w:rPr>
        <w:t xml:space="preserve">– we remain </w:t>
      </w:r>
      <w:r w:rsidRPr="001F2C6F">
        <w:rPr>
          <w:sz w:val="19"/>
          <w:szCs w:val="19"/>
        </w:rPr>
        <w:t>systematically positioned to profit from either continuation (harvest vol premium) or reversal (convexity payoff).</w:t>
      </w:r>
      <w:r w:rsidR="00E33826">
        <w:rPr>
          <w:sz w:val="19"/>
          <w:szCs w:val="19"/>
        </w:rPr>
        <w:t xml:space="preserve"> </w:t>
      </w:r>
    </w:p>
    <w:p w14:paraId="64B60705" w14:textId="5F2F2ADF" w:rsidR="00B54949" w:rsidRPr="001F2C6F" w:rsidRDefault="00B54949" w:rsidP="001F2C6F">
      <w:pPr>
        <w:spacing w:line="276" w:lineRule="auto"/>
        <w:jc w:val="both"/>
        <w:rPr>
          <w:sz w:val="19"/>
          <w:szCs w:val="19"/>
        </w:rPr>
      </w:pPr>
      <w:r w:rsidRPr="001F2C6F">
        <w:rPr>
          <w:sz w:val="19"/>
          <w:szCs w:val="19"/>
        </w:rPr>
        <w:t xml:space="preserve">Does this framework resonate with where </w:t>
      </w:r>
      <w:r w:rsidR="00326320" w:rsidRPr="001F2C6F">
        <w:rPr>
          <w:sz w:val="19"/>
          <w:szCs w:val="19"/>
        </w:rPr>
        <w:t>you are</w:t>
      </w:r>
      <w:r w:rsidRPr="001F2C6F">
        <w:rPr>
          <w:sz w:val="19"/>
          <w:szCs w:val="19"/>
        </w:rPr>
        <w:t xml:space="preserve"> headed with the Holy Trinity research program? </w:t>
      </w:r>
      <w:r w:rsidR="00326320" w:rsidRPr="001F2C6F">
        <w:rPr>
          <w:sz w:val="19"/>
          <w:szCs w:val="19"/>
        </w:rPr>
        <w:t>I am</w:t>
      </w:r>
      <w:r w:rsidRPr="001F2C6F">
        <w:rPr>
          <w:sz w:val="19"/>
          <w:szCs w:val="19"/>
        </w:rPr>
        <w:t xml:space="preserve"> curious how you</w:t>
      </w:r>
      <w:r w:rsidR="00326320" w:rsidRPr="001F2C6F">
        <w:rPr>
          <w:sz w:val="19"/>
          <w:szCs w:val="19"/>
        </w:rPr>
        <w:t xml:space="preserve"> are</w:t>
      </w:r>
      <w:r w:rsidRPr="001F2C6F">
        <w:rPr>
          <w:sz w:val="19"/>
          <w:szCs w:val="19"/>
        </w:rPr>
        <w:t xml:space="preserve"> thinking about integrating this into your Engel Capital positioning, especially given your focus on dollar weakness scenarios.</w:t>
      </w:r>
      <w:r w:rsidR="00E33826">
        <w:rPr>
          <w:sz w:val="19"/>
          <w:szCs w:val="19"/>
        </w:rPr>
        <w:t xml:space="preserve"> </w:t>
      </w:r>
    </w:p>
    <w:p w14:paraId="22B8B8A0" w14:textId="42D5C180" w:rsidR="00B54949" w:rsidRPr="001F2C6F" w:rsidRDefault="00B54949">
      <w:pPr>
        <w:rPr>
          <w:sz w:val="19"/>
          <w:szCs w:val="19"/>
        </w:rPr>
      </w:pPr>
    </w:p>
    <w:sectPr w:rsidR="00B54949" w:rsidRPr="001F2C6F" w:rsidSect="00E33826">
      <w:headerReference w:type="default" r:id="rId7"/>
      <w:footerReference w:type="default" r:id="rId8"/>
      <w:pgSz w:w="11906" w:h="16838"/>
      <w:pgMar w:top="1440" w:right="1440" w:bottom="1440" w:left="1440" w:header="850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82795" w14:textId="77777777" w:rsidR="001F2C6F" w:rsidRDefault="001F2C6F" w:rsidP="001F2C6F">
      <w:pPr>
        <w:spacing w:after="0" w:line="240" w:lineRule="auto"/>
      </w:pPr>
      <w:r>
        <w:separator/>
      </w:r>
    </w:p>
  </w:endnote>
  <w:endnote w:type="continuationSeparator" w:id="0">
    <w:p w14:paraId="60D38E44" w14:textId="77777777" w:rsidR="001F2C6F" w:rsidRDefault="001F2C6F" w:rsidP="001F2C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color w:val="336699"/>
        <w:sz w:val="18"/>
        <w:szCs w:val="18"/>
      </w:rPr>
      <w:id w:val="1659505888"/>
      <w:docPartObj>
        <w:docPartGallery w:val="Page Numbers (Bottom of Page)"/>
        <w:docPartUnique/>
      </w:docPartObj>
    </w:sdtPr>
    <w:sdtContent>
      <w:p w14:paraId="5475A58D" w14:textId="45E62E3A" w:rsidR="001F2C6F" w:rsidRPr="001F2C6F" w:rsidRDefault="001F2C6F">
        <w:pPr>
          <w:pStyle w:val="Footer"/>
          <w:jc w:val="right"/>
          <w:rPr>
            <w:b/>
            <w:bCs/>
            <w:color w:val="336699"/>
            <w:sz w:val="18"/>
            <w:szCs w:val="18"/>
          </w:rPr>
        </w:pPr>
        <w:r w:rsidRPr="001F2C6F">
          <w:rPr>
            <w:b/>
            <w:bCs/>
            <w:color w:val="336699"/>
            <w:sz w:val="18"/>
            <w:szCs w:val="18"/>
          </w:rPr>
          <w:t xml:space="preserve">Page | </w:t>
        </w:r>
        <w:r w:rsidRPr="001F2C6F">
          <w:rPr>
            <w:b/>
            <w:bCs/>
            <w:color w:val="336699"/>
            <w:sz w:val="18"/>
            <w:szCs w:val="18"/>
          </w:rPr>
          <w:fldChar w:fldCharType="begin"/>
        </w:r>
        <w:r w:rsidRPr="001F2C6F">
          <w:rPr>
            <w:b/>
            <w:bCs/>
            <w:color w:val="336699"/>
            <w:sz w:val="18"/>
            <w:szCs w:val="18"/>
          </w:rPr>
          <w:instrText xml:space="preserve"> PAGE   \* MERGEFORMAT </w:instrText>
        </w:r>
        <w:r w:rsidRPr="001F2C6F">
          <w:rPr>
            <w:b/>
            <w:bCs/>
            <w:color w:val="336699"/>
            <w:sz w:val="18"/>
            <w:szCs w:val="18"/>
          </w:rPr>
          <w:fldChar w:fldCharType="separate"/>
        </w:r>
        <w:r w:rsidRPr="001F2C6F">
          <w:rPr>
            <w:b/>
            <w:bCs/>
            <w:noProof/>
            <w:color w:val="336699"/>
            <w:sz w:val="18"/>
            <w:szCs w:val="18"/>
          </w:rPr>
          <w:t>2</w:t>
        </w:r>
        <w:r w:rsidRPr="001F2C6F">
          <w:rPr>
            <w:b/>
            <w:bCs/>
            <w:noProof/>
            <w:color w:val="336699"/>
            <w:sz w:val="18"/>
            <w:szCs w:val="18"/>
          </w:rPr>
          <w:fldChar w:fldCharType="end"/>
        </w:r>
        <w:r w:rsidRPr="001F2C6F">
          <w:rPr>
            <w:b/>
            <w:bCs/>
            <w:color w:val="336699"/>
            <w:sz w:val="18"/>
            <w:szCs w:val="18"/>
          </w:rPr>
          <w:t xml:space="preserve"> </w:t>
        </w:r>
      </w:p>
    </w:sdtContent>
  </w:sdt>
  <w:p w14:paraId="01755AF3" w14:textId="77777777" w:rsidR="001F2C6F" w:rsidRPr="001F2C6F" w:rsidRDefault="001F2C6F">
    <w:pPr>
      <w:pStyle w:val="Footer"/>
      <w:rPr>
        <w:b/>
        <w:bCs/>
        <w:color w:val="336699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CA0F8" w14:textId="77777777" w:rsidR="001F2C6F" w:rsidRDefault="001F2C6F" w:rsidP="001F2C6F">
      <w:pPr>
        <w:spacing w:after="0" w:line="240" w:lineRule="auto"/>
      </w:pPr>
      <w:r>
        <w:separator/>
      </w:r>
    </w:p>
  </w:footnote>
  <w:footnote w:type="continuationSeparator" w:id="0">
    <w:p w14:paraId="04A2C58B" w14:textId="77777777" w:rsidR="001F2C6F" w:rsidRDefault="001F2C6F" w:rsidP="001F2C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63322" w14:textId="03F5C8C1" w:rsidR="003E5C38" w:rsidRDefault="003E5C38">
    <w:pPr>
      <w:pStyle w:val="Header"/>
    </w:pPr>
    <w:r>
      <w:rPr>
        <w:noProof/>
        <w:sz w:val="19"/>
        <w:szCs w:val="19"/>
      </w:rPr>
      <w:drawing>
        <wp:anchor distT="0" distB="0" distL="114300" distR="114300" simplePos="0" relativeHeight="251658240" behindDoc="0" locked="0" layoutInCell="1" allowOverlap="1" wp14:anchorId="07234D4A" wp14:editId="205CB638">
          <wp:simplePos x="0" y="0"/>
          <wp:positionH relativeFrom="margin">
            <wp:align>right</wp:align>
          </wp:positionH>
          <wp:positionV relativeFrom="topMargin">
            <wp:posOffset>140048</wp:posOffset>
          </wp:positionV>
          <wp:extent cx="1057528" cy="576000"/>
          <wp:effectExtent l="0" t="0" r="9525" b="0"/>
          <wp:wrapSquare wrapText="bothSides"/>
          <wp:docPr id="1249347620" name="Picture 1" descr="A blue background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1395485" name="Picture 1" descr="A blue background with white text&#10;&#10;AI-generated content may be incorrect."/>
                  <pic:cNvPicPr/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colorTemperature colorTemp="4700"/>
                            </a14:imgEffect>
                            <a14:imgEffect>
                              <a14:brightnessContrast bright="20000" contras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1766" r="-1678" b="29846"/>
                  <a:stretch>
                    <a:fillRect/>
                  </a:stretch>
                </pic:blipFill>
                <pic:spPr bwMode="auto">
                  <a:xfrm>
                    <a:off x="0" y="0"/>
                    <a:ext cx="1057528" cy="576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2931"/>
    <w:multiLevelType w:val="multilevel"/>
    <w:tmpl w:val="FAF0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A50D3"/>
    <w:multiLevelType w:val="hybridMultilevel"/>
    <w:tmpl w:val="F6CEBCF4"/>
    <w:lvl w:ilvl="0" w:tplc="720237F4">
      <w:start w:val="1"/>
      <w:numFmt w:val="bullet"/>
      <w:lvlText w:val="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21200963"/>
    <w:multiLevelType w:val="hybridMultilevel"/>
    <w:tmpl w:val="C3785A32"/>
    <w:lvl w:ilvl="0" w:tplc="78A0005A">
      <w:numFmt w:val="bullet"/>
      <w:lvlText w:val="-"/>
      <w:lvlJc w:val="left"/>
      <w:pPr>
        <w:ind w:left="1167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27" w:hanging="360"/>
      </w:pPr>
      <w:rPr>
        <w:rFonts w:ascii="Wingdings" w:hAnsi="Wingdings" w:hint="default"/>
      </w:rPr>
    </w:lvl>
  </w:abstractNum>
  <w:abstractNum w:abstractNumId="3" w15:restartNumberingAfterBreak="0">
    <w:nsid w:val="2E413E16"/>
    <w:multiLevelType w:val="multilevel"/>
    <w:tmpl w:val="198E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A706B"/>
    <w:multiLevelType w:val="hybridMultilevel"/>
    <w:tmpl w:val="7C1A863A"/>
    <w:lvl w:ilvl="0" w:tplc="3200896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B1A05B6"/>
    <w:multiLevelType w:val="hybridMultilevel"/>
    <w:tmpl w:val="9D287EC8"/>
    <w:lvl w:ilvl="0" w:tplc="720237F4">
      <w:start w:val="1"/>
      <w:numFmt w:val="bullet"/>
      <w:lvlText w:val="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3F490379"/>
    <w:multiLevelType w:val="hybridMultilevel"/>
    <w:tmpl w:val="ACE8D294"/>
    <w:lvl w:ilvl="0" w:tplc="720237F4">
      <w:start w:val="1"/>
      <w:numFmt w:val="bullet"/>
      <w:lvlText w:val="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32625F"/>
    <w:multiLevelType w:val="multilevel"/>
    <w:tmpl w:val="4FA2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04C74"/>
    <w:multiLevelType w:val="multilevel"/>
    <w:tmpl w:val="768C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D0503F"/>
    <w:multiLevelType w:val="multilevel"/>
    <w:tmpl w:val="9848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291448">
    <w:abstractNumId w:val="0"/>
  </w:num>
  <w:num w:numId="2" w16cid:durableId="1533376241">
    <w:abstractNumId w:val="9"/>
  </w:num>
  <w:num w:numId="3" w16cid:durableId="476723472">
    <w:abstractNumId w:val="7"/>
  </w:num>
  <w:num w:numId="4" w16cid:durableId="817963441">
    <w:abstractNumId w:val="8"/>
  </w:num>
  <w:num w:numId="5" w16cid:durableId="629940054">
    <w:abstractNumId w:val="3"/>
  </w:num>
  <w:num w:numId="6" w16cid:durableId="1778670766">
    <w:abstractNumId w:val="6"/>
  </w:num>
  <w:num w:numId="7" w16cid:durableId="2031763211">
    <w:abstractNumId w:val="2"/>
  </w:num>
  <w:num w:numId="8" w16cid:durableId="628434357">
    <w:abstractNumId w:val="5"/>
  </w:num>
  <w:num w:numId="9" w16cid:durableId="427309734">
    <w:abstractNumId w:val="1"/>
  </w:num>
  <w:num w:numId="10" w16cid:durableId="16299668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C86"/>
    <w:rsid w:val="00003414"/>
    <w:rsid w:val="00051D2D"/>
    <w:rsid w:val="00061EFB"/>
    <w:rsid w:val="001F2C6F"/>
    <w:rsid w:val="001F6C86"/>
    <w:rsid w:val="0025037F"/>
    <w:rsid w:val="00326320"/>
    <w:rsid w:val="0038236C"/>
    <w:rsid w:val="003E5C38"/>
    <w:rsid w:val="00563C02"/>
    <w:rsid w:val="00684407"/>
    <w:rsid w:val="006A14A5"/>
    <w:rsid w:val="007B213B"/>
    <w:rsid w:val="008F066B"/>
    <w:rsid w:val="009D107D"/>
    <w:rsid w:val="009D4A33"/>
    <w:rsid w:val="00AC7AE1"/>
    <w:rsid w:val="00B54949"/>
    <w:rsid w:val="00B81BDF"/>
    <w:rsid w:val="00E33826"/>
    <w:rsid w:val="00EC4BCC"/>
    <w:rsid w:val="00F81E8F"/>
    <w:rsid w:val="00FD5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B963B7"/>
  <w15:chartTrackingRefBased/>
  <w15:docId w15:val="{5B1184FC-7822-4417-A61D-7A63BBABA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C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C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C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C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C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2C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C6F"/>
  </w:style>
  <w:style w:type="paragraph" w:styleId="Footer">
    <w:name w:val="footer"/>
    <w:basedOn w:val="Normal"/>
    <w:link w:val="FooterChar"/>
    <w:uiPriority w:val="99"/>
    <w:unhideWhenUsed/>
    <w:rsid w:val="001F2C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C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3</Pages>
  <Words>696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Angelopoulos</dc:creator>
  <cp:keywords/>
  <dc:description/>
  <cp:lastModifiedBy>Chris Angelopoulos</cp:lastModifiedBy>
  <cp:revision>17</cp:revision>
  <dcterms:created xsi:type="dcterms:W3CDTF">2025-11-24T19:34:00Z</dcterms:created>
  <dcterms:modified xsi:type="dcterms:W3CDTF">2025-11-26T16:16:00Z</dcterms:modified>
</cp:coreProperties>
</file>