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120" w:before="0"/>
      </w:pPr>
      <w:r>
        <w:rPr>
          <w:i/>
          <w:iCs/>
          <w:color w:val="666666"/>
        </w:rPr>
        <w:t xml:space="preserve">Tests run: 19, Failures: 0, Errors: 0, Skipped: 0 — BUILD SUCCESS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execução dos testes unitários (mvn test) mostrando "Tests run: 19, Failures: 0" e BUILD SUCCESS ]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página do JaCoCo a mostrar 100% de cobertura em InMemoryUserRepository e TodoUserService ]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saída do Newman no modo memória (requests 11, assertions 19, failed 0) ]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 (listas e itens).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O facto de a mesma coleção passar sem alterações nos dois backends demonstra que a camada de repositório está corretamente abstraída.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saída do Newman no modo SQL/PostgreSQL (requests 11, assertions 19, failed 0) ]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 e http://10.0.2.2:7100 no emulador Android (onde localhost seria o próprio emulador).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Android e Desktop</w:t>
      </w:r>
    </w:p>
    <w:p>
      <w:pPr>
        <w:spacing w:after="120" w:before="0"/>
      </w:pPr>
      <w:r>
        <w:t xml:space="preserve">Preparação (uma vez): flutter pub get e flutter create --platforms=android,macos . Execução: flutter run -d macos (Desktop) ou flutter run -d &lt;emulador&gt; (Android).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aplicação a correr em Desktop (macOS) — ecrã de listas/tarefas ]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aplicação a correr em Android (emulador) ]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do item e persiste-o via TodoRepository.update(...) (implementado tanto no repositório em memória como no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tarefa marcada como completa no cliente Flutter (checkbox ativa, texto riscado) ]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e Android, estendido com a funcionalidade de marcar tarefas como completas (API + cliente).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2026-07-15T18:23:13.009Z</dcterms:created>
  <dcterms:modified xsi:type="dcterms:W3CDTF">2026-07-15T18:23:13.009Z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