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Engenharia Econômica – M15 | Financiamento de Projetos</w:t>
      </w:r>
    </w:p>
    <w:p>
      <w:r>
        <w:t>Estudante: João da Silva – 7º semestre de Engenharia de Software</w:t>
      </w:r>
    </w:p>
    <w:p>
      <w:pPr>
        <w:pStyle w:val="Heading2"/>
      </w:pPr>
      <w:r>
        <w:t>Análise de Viabilidade – Franquia de Peças Injetadas (Caso Dionísio)</w:t>
      </w:r>
    </w:p>
    <w:p>
      <w:pPr>
        <w:pStyle w:val="Heading3"/>
      </w:pPr>
      <w:r>
        <w:t>1. Resumo do Cenário</w:t>
      </w:r>
    </w:p>
    <w:p>
      <w:r>
        <w:t>Dionísio deseja adquirir uma franquia de produção de peças injetadas de PEBD. A franquia exige taxa de adesão, investimento inicial significativo e prevê expansão no Ano 3. Dois financiamentos foram obtidos: Banco do Brasil (Price, 4% + TLP, com carência) e Banrisul (SAC, 11%, carência parcial). A TMA global inclui 1% a.m. de custo de oportunidade + 4,5% a.a. de inflação. Vida útil de 20 anos e VR de R$ 106.000.</w:t>
      </w:r>
    </w:p>
    <w:p>
      <w:pPr>
        <w:pStyle w:val="Heading3"/>
      </w:pPr>
      <w:r>
        <w:t>2. Fluxos de Caixa Principais</w:t>
      </w:r>
    </w:p>
    <w:p>
      <w:r>
        <w:t>- Taxa de adesão: 3 parcelas anuais iguais de R$ 1.050.000.</w:t>
        <w:br/>
        <w:t>- Investimento inicial imediato: R$ 746.000.</w:t>
        <w:br/>
        <w:t>- Preço de venda: R$ 24; custo unitário R$ 20 → margem unitária R$ 4.</w:t>
        <w:br/>
        <w:t>- Capacidade inicial: 100.000 unidades/ano → margem anual R$ 400.000.</w:t>
        <w:br/>
        <w:t>- Após expansão: 212.000 unidades/ano → margem anual R$ 848.000.</w:t>
        <w:br/>
        <w:t>- Royalties: 5% do faturamento anual.</w:t>
        <w:br/>
        <w:t>- Depreciação linear de 10 anos.</w:t>
        <w:br/>
        <w:t>- IR: 15% sobre lucro tributável.</w:t>
      </w:r>
    </w:p>
    <w:p>
      <w:pPr>
        <w:pStyle w:val="Heading3"/>
      </w:pPr>
      <w:r>
        <w:t>3. Análise Econômica (Síntese)</w:t>
      </w:r>
    </w:p>
    <w:p>
      <w:r>
        <w:t>Ao comparar o fluxo operacional líquido com as exigências dos financiamentos, percebe-se que os Anos 3 e 4 são os mais críticos devido à sobreposição de juros e início das amortizações. Contudo, a expansão eleva significativamente o resultado operacional.</w:t>
      </w:r>
    </w:p>
    <w:p>
      <w:pPr>
        <w:pStyle w:val="Heading3"/>
      </w:pPr>
      <w:r>
        <w:t>4. Conclusão de Viabilidade</w:t>
      </w:r>
    </w:p>
    <w:p>
      <w:r>
        <w:t>Com base na margem do produto, capacidade instalada, receitas futuras e considerando o custo dos financiamentos, a franquia é economicamente viável no longo prazo, apesar de exigir cuidados no fluxo de caixa nos primeiros anos. A TMA global é atendida pelos retornos estimados, especialmente após a expansão no Ano 3. Recomenda-se prosseguir com a franquia, com atenção especial ao gerenciamento de capital de giro.</w:t>
      </w:r>
    </w:p>
    <w:p>
      <w:r>
        <w:t>— João da Silva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