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ascii="宋体" w:hAnsi="宋体"/>
          <w:sz w:val="52"/>
          <w:szCs w:val="52"/>
        </w:rPr>
      </w:pPr>
    </w:p>
    <w:p>
      <w:pPr>
        <w:ind w:left="0" w:leftChars="0" w:firstLine="0" w:firstLineChars="0"/>
        <w:jc w:val="both"/>
        <w:rPr>
          <w:rFonts w:ascii="宋体" w:hAnsi="宋体"/>
          <w:sz w:val="52"/>
          <w:szCs w:val="52"/>
        </w:rPr>
      </w:pPr>
      <w:r>
        <w:drawing>
          <wp:anchor distT="0" distB="0" distL="114300" distR="114300" simplePos="0" relativeHeight="251658240" behindDoc="0" locked="0" layoutInCell="1" allowOverlap="1">
            <wp:simplePos x="0" y="0"/>
            <wp:positionH relativeFrom="column">
              <wp:posOffset>929640</wp:posOffset>
            </wp:positionH>
            <wp:positionV relativeFrom="paragraph">
              <wp:posOffset>187325</wp:posOffset>
            </wp:positionV>
            <wp:extent cx="3543300" cy="541020"/>
            <wp:effectExtent l="0" t="0" r="7620" b="7620"/>
            <wp:wrapNone/>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3543300" cy="541020"/>
                    </a:xfrm>
                    <a:prstGeom prst="rect">
                      <a:avLst/>
                    </a:prstGeom>
                    <a:noFill/>
                    <a:ln w="9525">
                      <a:noFill/>
                    </a:ln>
                  </pic:spPr>
                </pic:pic>
              </a:graphicData>
            </a:graphic>
          </wp:anchor>
        </w:drawing>
      </w:r>
    </w:p>
    <w:p>
      <w:pPr>
        <w:ind w:left="0" w:leftChars="0" w:firstLine="0" w:firstLineChars="0"/>
        <w:rPr>
          <w:rFonts w:ascii="宋体" w:hAnsi="宋体"/>
          <w:sz w:val="52"/>
          <w:szCs w:val="52"/>
        </w:rPr>
      </w:pPr>
    </w:p>
    <w:p>
      <w:pPr>
        <w:jc w:val="both"/>
        <w:rPr>
          <w:rFonts w:ascii="宋体" w:hAnsi="宋体"/>
          <w:sz w:val="52"/>
          <w:szCs w:val="52"/>
        </w:rPr>
      </w:pPr>
      <w:r>
        <w:rPr>
          <w:rFonts w:hint="eastAsia" w:ascii="宋体" w:hAnsi="宋体"/>
          <w:sz w:val="52"/>
          <w:szCs w:val="52"/>
          <w:lang w:val="en-US" w:eastAsia="zh-CN"/>
        </w:rPr>
        <w:t xml:space="preserve">  </w:t>
      </w:r>
      <w:r>
        <w:rPr>
          <w:rFonts w:hint="eastAsia" w:ascii="宋体" w:hAnsi="宋体"/>
          <w:sz w:val="52"/>
          <w:szCs w:val="52"/>
        </w:rPr>
        <w:t>本科毕业设计文献综述</w:t>
      </w:r>
    </w:p>
    <w:p>
      <w:pPr>
        <w:jc w:val="center"/>
        <w:rPr>
          <w:b/>
          <w:sz w:val="36"/>
          <w:szCs w:val="36"/>
        </w:rPr>
      </w:pPr>
    </w:p>
    <w:p>
      <w:pPr>
        <w:ind w:left="0" w:leftChars="0" w:firstLine="0" w:firstLineChars="0"/>
        <w:jc w:val="both"/>
        <w:rPr>
          <w:b/>
          <w:sz w:val="36"/>
          <w:szCs w:val="36"/>
        </w:rPr>
      </w:pPr>
      <w:r>
        <w:rPr>
          <w:rFonts w:hint="eastAsia" w:hAnsi="宋体"/>
          <w:b/>
          <w:sz w:val="36"/>
          <w:szCs w:val="36"/>
          <w:lang w:val="en-US" w:eastAsia="zh-CN"/>
        </w:rPr>
        <w:t xml:space="preserve">                 </w:t>
      </w:r>
      <w:r>
        <w:rPr>
          <w:rFonts w:hAnsi="宋体"/>
          <w:b/>
          <w:sz w:val="36"/>
          <w:szCs w:val="36"/>
        </w:rPr>
        <w:t>（</w:t>
      </w:r>
      <w:r>
        <w:rPr>
          <w:b/>
          <w:sz w:val="36"/>
          <w:szCs w:val="36"/>
        </w:rPr>
        <w:t>201</w:t>
      </w:r>
      <w:r>
        <w:rPr>
          <w:rFonts w:hint="eastAsia"/>
          <w:b/>
          <w:sz w:val="36"/>
          <w:szCs w:val="36"/>
          <w:lang w:val="en-US" w:eastAsia="zh-CN"/>
        </w:rPr>
        <w:t>7</w:t>
      </w:r>
      <w:r>
        <w:rPr>
          <w:rFonts w:hAnsi="宋体"/>
          <w:b/>
          <w:sz w:val="36"/>
          <w:szCs w:val="36"/>
        </w:rPr>
        <w:t>届）</w:t>
      </w:r>
    </w:p>
    <w:p>
      <w:pPr>
        <w:jc w:val="center"/>
        <w:rPr>
          <w:rFonts w:ascii="宋体" w:hAnsi="宋体"/>
          <w:b/>
          <w:sz w:val="48"/>
        </w:rPr>
      </w:pPr>
    </w:p>
    <w:p>
      <w:pPr>
        <w:jc w:val="center"/>
        <w:rPr>
          <w:rFonts w:ascii="宋体" w:hAnsi="宋体"/>
          <w:sz w:val="44"/>
        </w:rPr>
      </w:pPr>
      <w:r>
        <w:drawing>
          <wp:anchor distT="0" distB="0" distL="114300" distR="114300" simplePos="0" relativeHeight="251659264" behindDoc="0" locked="0" layoutInCell="1" allowOverlap="1">
            <wp:simplePos x="0" y="0"/>
            <wp:positionH relativeFrom="column">
              <wp:posOffset>2053590</wp:posOffset>
            </wp:positionH>
            <wp:positionV relativeFrom="paragraph">
              <wp:posOffset>15240</wp:posOffset>
            </wp:positionV>
            <wp:extent cx="984250" cy="902970"/>
            <wp:effectExtent l="0" t="0" r="6350" b="11430"/>
            <wp:wrapNone/>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84250" cy="902970"/>
                    </a:xfrm>
                    <a:prstGeom prst="rect">
                      <a:avLst/>
                    </a:prstGeom>
                    <a:noFill/>
                    <a:ln w="9525">
                      <a:noFill/>
                    </a:ln>
                  </pic:spPr>
                </pic:pic>
              </a:graphicData>
            </a:graphic>
          </wp:anchor>
        </w:drawing>
      </w:r>
    </w:p>
    <w:p>
      <w:pPr>
        <w:tabs>
          <w:tab w:val="left" w:pos="720"/>
        </w:tabs>
        <w:ind w:left="1377" w:leftChars="656"/>
        <w:rPr>
          <w:rFonts w:ascii="宋体" w:hAnsi="宋体"/>
          <w:sz w:val="44"/>
        </w:rPr>
      </w:pPr>
    </w:p>
    <w:p>
      <w:pPr>
        <w:tabs>
          <w:tab w:val="left" w:pos="720"/>
        </w:tabs>
        <w:ind w:left="1377" w:leftChars="656"/>
        <w:rPr>
          <w:rFonts w:ascii="宋体" w:hAnsi="宋体"/>
          <w:sz w:val="44"/>
        </w:rPr>
      </w:pPr>
    </w:p>
    <w:p>
      <w:pPr>
        <w:tabs>
          <w:tab w:val="left" w:pos="720"/>
        </w:tabs>
        <w:ind w:left="0" w:leftChars="0" w:firstLine="0" w:firstLineChars="0"/>
        <w:rPr>
          <w:rFonts w:hint="eastAsia" w:ascii="宋体" w:hAnsi="宋体" w:eastAsia="宋体" w:cs="宋体"/>
          <w:sz w:val="36"/>
          <w:szCs w:val="36"/>
          <w:u w:val="single"/>
          <w:lang w:eastAsia="zh-CN"/>
        </w:rPr>
      </w:pPr>
      <w:r>
        <w:rPr>
          <w:rFonts w:hint="eastAsia" w:ascii="宋体" w:hAnsi="宋体"/>
          <w:sz w:val="44"/>
          <w:szCs w:val="44"/>
          <w:lang w:val="en-US" w:eastAsia="zh-CN"/>
        </w:rPr>
        <w:t xml:space="preserve">   </w:t>
      </w:r>
      <w:r>
        <w:rPr>
          <w:rFonts w:hint="eastAsia" w:ascii="宋体" w:hAnsi="宋体" w:eastAsia="宋体" w:cs="宋体"/>
          <w:sz w:val="44"/>
          <w:szCs w:val="44"/>
          <w:lang w:val="en-US" w:eastAsia="zh-CN"/>
        </w:rPr>
        <w:t xml:space="preserve"> </w:t>
      </w:r>
      <w:r>
        <w:rPr>
          <w:rFonts w:hint="eastAsia" w:ascii="宋体" w:hAnsi="宋体" w:eastAsia="宋体" w:cs="宋体"/>
          <w:sz w:val="44"/>
          <w:szCs w:val="44"/>
        </w:rPr>
        <w:t xml:space="preserve">论文题目 </w:t>
      </w:r>
      <w:r>
        <w:rPr>
          <w:rFonts w:hint="eastAsia" w:ascii="宋体" w:hAnsi="宋体" w:eastAsia="宋体" w:cs="宋体"/>
          <w:sz w:val="36"/>
          <w:szCs w:val="36"/>
          <w:u w:val="single"/>
          <w:lang w:eastAsia="zh-CN"/>
        </w:rPr>
        <w:t>基于遗</w:t>
      </w:r>
      <w:r>
        <w:rPr>
          <w:rFonts w:hint="eastAsia" w:ascii="宋体" w:hAnsi="宋体" w:eastAsia="宋体" w:cs="宋体"/>
          <w:sz w:val="36"/>
          <w:szCs w:val="36"/>
          <w:u w:val="single"/>
        </w:rPr>
        <w:t>传算法</w:t>
      </w:r>
      <w:r>
        <w:rPr>
          <w:rFonts w:hint="eastAsia" w:ascii="宋体" w:hAnsi="宋体" w:eastAsia="宋体" w:cs="宋体"/>
          <w:sz w:val="36"/>
          <w:szCs w:val="36"/>
          <w:u w:val="single"/>
          <w:lang w:eastAsia="zh-CN"/>
        </w:rPr>
        <w:t>的音乐作曲</w:t>
      </w:r>
    </w:p>
    <w:p>
      <w:pPr>
        <w:tabs>
          <w:tab w:val="left" w:pos="720"/>
        </w:tabs>
        <w:rPr>
          <w:rFonts w:hint="eastAsia" w:ascii="宋体" w:hAnsi="宋体" w:eastAsia="宋体" w:cs="宋体"/>
          <w:sz w:val="36"/>
          <w:szCs w:val="36"/>
          <w:u w:val="single"/>
        </w:rPr>
      </w:pPr>
      <w:r>
        <w:rPr>
          <w:rFonts w:hint="eastAsia" w:ascii="宋体" w:hAnsi="宋体" w:eastAsia="宋体" w:cs="宋体"/>
          <w:sz w:val="36"/>
          <w:szCs w:val="36"/>
          <w:u w:val="none"/>
          <w:lang w:val="en-US" w:eastAsia="zh-CN"/>
        </w:rPr>
        <w:t xml:space="preserve">            </w:t>
      </w:r>
      <w:r>
        <w:rPr>
          <w:rFonts w:hint="eastAsia" w:ascii="宋体" w:hAnsi="宋体" w:eastAsia="宋体" w:cs="宋体"/>
          <w:sz w:val="36"/>
          <w:szCs w:val="36"/>
          <w:u w:val="single"/>
          <w:lang w:eastAsia="zh-CN"/>
        </w:rPr>
        <w:t>研究与实现</w:t>
      </w:r>
    </w:p>
    <w:p>
      <w:pPr>
        <w:spacing w:line="360" w:lineRule="auto"/>
        <w:ind w:firstLine="2240"/>
        <w:rPr>
          <w:rFonts w:ascii="宋体" w:hAnsi="宋体"/>
          <w:u w:val="single"/>
        </w:rPr>
      </w:pPr>
    </w:p>
    <w:p>
      <w:pPr>
        <w:spacing w:line="480" w:lineRule="auto"/>
        <w:ind w:left="0" w:leftChars="0" w:firstLine="0" w:firstLineChars="0"/>
        <w:jc w:val="left"/>
        <w:rPr>
          <w:rFonts w:hint="eastAsia" w:ascii="宋体" w:hAnsi="宋体" w:eastAsia="宋体" w:cs="宋体"/>
          <w:spacing w:val="5"/>
          <w:kern w:val="0"/>
          <w:sz w:val="28"/>
          <w:szCs w:val="28"/>
        </w:rPr>
      </w:pPr>
    </w:p>
    <w:p>
      <w:pPr>
        <w:spacing w:line="480" w:lineRule="auto"/>
        <w:ind w:left="0" w:leftChars="600" w:firstLine="0" w:firstLineChars="0"/>
        <w:jc w:val="left"/>
        <w:rPr>
          <w:sz w:val="30"/>
          <w:szCs w:val="30"/>
          <w:u w:val="single"/>
        </w:rPr>
      </w:pPr>
      <w:r>
        <w:rPr>
          <w:rFonts w:hint="eastAsia" w:ascii="宋体" w:hAnsi="宋体" w:eastAsia="宋体" w:cs="宋体"/>
          <w:spacing w:val="5"/>
          <w:kern w:val="0"/>
          <w:sz w:val="28"/>
          <w:szCs w:val="28"/>
        </w:rPr>
        <w:t>作者姓名</w:t>
      </w:r>
      <w:r>
        <w:rPr>
          <w:spacing w:val="5"/>
          <w:kern w:val="0"/>
          <w:sz w:val="28"/>
          <w:szCs w:val="28"/>
        </w:rPr>
        <w:tab/>
      </w:r>
      <w:r>
        <w:rPr>
          <w:spacing w:val="5"/>
          <w:kern w:val="0"/>
          <w:sz w:val="28"/>
          <w:szCs w:val="28"/>
        </w:rPr>
        <w:t xml:space="preserve"> </w:t>
      </w:r>
      <w:r>
        <w:rPr>
          <w:rFonts w:hint="eastAsia"/>
          <w:sz w:val="28"/>
          <w:szCs w:val="28"/>
          <w:u w:val="none"/>
        </w:rPr>
        <w:t xml:space="preserve"> </w:t>
      </w:r>
      <w:r>
        <w:rPr>
          <w:sz w:val="28"/>
          <w:szCs w:val="28"/>
          <w:u w:val="none"/>
        </w:rPr>
        <w:t xml:space="preserve">  </w:t>
      </w:r>
      <w:r>
        <w:rPr>
          <w:sz w:val="28"/>
          <w:szCs w:val="28"/>
          <w:u w:val="single"/>
        </w:rPr>
        <w:t xml:space="preserve">       </w:t>
      </w:r>
      <w:r>
        <w:rPr>
          <w:rFonts w:hint="eastAsia" w:ascii="宋体" w:hAnsi="宋体" w:eastAsia="宋体" w:cs="宋体"/>
          <w:sz w:val="28"/>
          <w:szCs w:val="28"/>
          <w:u w:val="single"/>
          <w:lang w:eastAsia="zh-CN"/>
        </w:rPr>
        <w:t>陈文帆</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ind w:left="0" w:leftChars="600" w:firstLine="0" w:firstLineChars="0"/>
        <w:jc w:val="left"/>
        <w:rPr>
          <w:sz w:val="30"/>
          <w:szCs w:val="30"/>
        </w:rPr>
      </w:pPr>
      <w:r>
        <w:rPr>
          <w:rFonts w:hint="eastAsia" w:ascii="宋体" w:hAnsi="宋体" w:eastAsia="宋体" w:cs="宋体"/>
          <w:spacing w:val="5"/>
          <w:kern w:val="0"/>
          <w:sz w:val="28"/>
          <w:szCs w:val="28"/>
        </w:rPr>
        <w:t>指导教师</w:t>
      </w:r>
      <w:r>
        <w:rPr>
          <w:sz w:val="30"/>
          <w:szCs w:val="30"/>
        </w:rPr>
        <w:tab/>
      </w:r>
      <w:r>
        <w:rPr>
          <w:sz w:val="30"/>
          <w:szCs w:val="30"/>
        </w:rPr>
        <w:t xml:space="preserve"> </w:t>
      </w:r>
      <w:r>
        <w:rPr>
          <w:rFonts w:hint="eastAsia"/>
          <w:sz w:val="28"/>
          <w:szCs w:val="28"/>
          <w:u w:val="none"/>
        </w:rPr>
        <w:t xml:space="preserve">  </w:t>
      </w:r>
      <w:r>
        <w:rPr>
          <w:sz w:val="28"/>
          <w:szCs w:val="28"/>
          <w:u w:val="none"/>
        </w:rPr>
        <w:t xml:space="preserve"> </w:t>
      </w:r>
      <w:r>
        <w:rPr>
          <w:sz w:val="28"/>
          <w:szCs w:val="28"/>
          <w:u w:val="single"/>
        </w:rPr>
        <w:t xml:space="preserve">       </w:t>
      </w:r>
      <w:r>
        <w:rPr>
          <w:rFonts w:hint="eastAsia" w:ascii="宋体" w:hAnsi="宋体" w:eastAsia="宋体" w:cs="宋体"/>
          <w:sz w:val="28"/>
          <w:szCs w:val="28"/>
          <w:u w:val="single"/>
          <w:lang w:eastAsia="zh-CN"/>
        </w:rPr>
        <w:t>盛伟国</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spacing w:line="480" w:lineRule="auto"/>
        <w:ind w:left="0" w:leftChars="600" w:firstLine="0" w:firstLineChars="0"/>
        <w:rPr>
          <w:sz w:val="30"/>
          <w:u w:val="single"/>
        </w:rPr>
      </w:pPr>
    </w:p>
    <w:p>
      <w:pPr>
        <w:spacing w:line="480" w:lineRule="auto"/>
        <w:ind w:left="0" w:leftChars="600" w:firstLine="0" w:firstLineChars="0"/>
        <w:jc w:val="left"/>
        <w:rPr>
          <w:spacing w:val="5"/>
          <w:kern w:val="0"/>
          <w:position w:val="-8"/>
          <w:sz w:val="28"/>
          <w:szCs w:val="28"/>
          <w:u w:val="single"/>
        </w:rPr>
      </w:pPr>
      <w:r>
        <w:rPr>
          <w:rFonts w:hint="eastAsia" w:ascii="宋体" w:hAnsi="宋体" w:eastAsia="宋体" w:cs="宋体"/>
          <w:spacing w:val="5"/>
          <w:kern w:val="0"/>
          <w:sz w:val="28"/>
          <w:szCs w:val="28"/>
        </w:rPr>
        <w:t>学科(专业)</w:t>
      </w:r>
      <w:r>
        <w:rPr>
          <w:rFonts w:hint="eastAsia" w:ascii="宋体" w:hAnsi="宋体" w:eastAsia="宋体" w:cs="宋体"/>
          <w:spacing w:val="5"/>
          <w:kern w:val="0"/>
          <w:sz w:val="28"/>
          <w:szCs w:val="28"/>
        </w:rPr>
        <w:tab/>
      </w:r>
      <w:r>
        <w:rPr>
          <w:spacing w:val="5"/>
          <w:kern w:val="0"/>
          <w:sz w:val="28"/>
          <w:szCs w:val="28"/>
        </w:rPr>
        <w:t xml:space="preserve"> </w:t>
      </w:r>
      <w:r>
        <w:rPr>
          <w:spacing w:val="5"/>
          <w:kern w:val="0"/>
          <w:sz w:val="28"/>
          <w:szCs w:val="28"/>
          <w:u w:val="single"/>
        </w:rPr>
        <w:t xml:space="preserve">      </w:t>
      </w:r>
      <w:r>
        <w:rPr>
          <w:rFonts w:hint="eastAsia"/>
          <w:spacing w:val="5"/>
          <w:kern w:val="0"/>
          <w:sz w:val="28"/>
          <w:szCs w:val="28"/>
          <w:u w:val="single"/>
          <w:lang w:val="en-US" w:eastAsia="zh-CN"/>
        </w:rPr>
        <w:t xml:space="preserve">  </w:t>
      </w:r>
      <w:r>
        <w:rPr>
          <w:rFonts w:hint="eastAsia" w:ascii="宋体" w:hAnsi="宋体" w:eastAsia="宋体" w:cs="宋体"/>
          <w:sz w:val="28"/>
          <w:szCs w:val="28"/>
          <w:u w:val="single"/>
          <w:lang w:eastAsia="zh-CN"/>
        </w:rPr>
        <w:t>计自</w:t>
      </w:r>
      <w:r>
        <w:rPr>
          <w:rFonts w:hint="default" w:ascii="Times New Roman" w:hAnsi="Times New Roman" w:eastAsia="宋体" w:cs="Times New Roman"/>
          <w:sz w:val="28"/>
          <w:szCs w:val="28"/>
          <w:u w:val="single"/>
          <w:lang w:val="en-US" w:eastAsia="zh-CN"/>
        </w:rPr>
        <w:t>1302</w:t>
      </w:r>
      <w:r>
        <w:rPr>
          <w:rFonts w:hint="eastAsia"/>
          <w:spacing w:val="5"/>
          <w:kern w:val="0"/>
          <w:sz w:val="28"/>
          <w:szCs w:val="28"/>
          <w:u w:val="single"/>
          <w:lang w:val="en-US" w:eastAsia="zh-CN"/>
        </w:rPr>
        <w:t xml:space="preserve">  </w:t>
      </w:r>
      <w:r>
        <w:rPr>
          <w:spacing w:val="5"/>
          <w:kern w:val="0"/>
          <w:sz w:val="28"/>
          <w:szCs w:val="28"/>
          <w:u w:val="single"/>
        </w:rPr>
        <w:t xml:space="preserve"> </w:t>
      </w:r>
      <w:r>
        <w:rPr>
          <w:rFonts w:hint="eastAsia"/>
          <w:spacing w:val="5"/>
          <w:kern w:val="0"/>
          <w:sz w:val="28"/>
          <w:szCs w:val="28"/>
          <w:u w:val="single"/>
          <w:lang w:val="en-US" w:eastAsia="zh-CN"/>
        </w:rPr>
        <w:t xml:space="preserve"> </w:t>
      </w:r>
      <w:r>
        <w:rPr>
          <w:spacing w:val="5"/>
          <w:kern w:val="0"/>
          <w:sz w:val="28"/>
          <w:szCs w:val="28"/>
          <w:u w:val="single"/>
        </w:rPr>
        <w:t xml:space="preserve">   </w:t>
      </w:r>
      <w:r>
        <w:rPr>
          <w:spacing w:val="5"/>
          <w:kern w:val="0"/>
          <w:sz w:val="28"/>
          <w:szCs w:val="28"/>
          <w:u w:val="none"/>
        </w:rPr>
        <w:t xml:space="preserve">  </w:t>
      </w:r>
    </w:p>
    <w:p>
      <w:pPr>
        <w:spacing w:line="480" w:lineRule="auto"/>
        <w:ind w:left="0" w:leftChars="600" w:firstLine="0" w:firstLineChars="0"/>
        <w:jc w:val="left"/>
        <w:rPr>
          <w:sz w:val="30"/>
          <w:u w:val="single"/>
        </w:rPr>
      </w:pPr>
      <w:r>
        <w:rPr>
          <w:rFonts w:hint="eastAsia" w:ascii="宋体" w:hAnsi="宋体" w:eastAsia="宋体" w:cs="宋体"/>
          <w:spacing w:val="5"/>
          <w:kern w:val="0"/>
          <w:sz w:val="28"/>
          <w:szCs w:val="28"/>
        </w:rPr>
        <w:t>所在学院</w:t>
      </w:r>
      <w:r>
        <w:rPr>
          <w:sz w:val="28"/>
          <w:szCs w:val="28"/>
        </w:rPr>
        <w:tab/>
      </w:r>
      <w:r>
        <w:rPr>
          <w:sz w:val="28"/>
          <w:szCs w:val="28"/>
        </w:rPr>
        <w:t xml:space="preserve"> </w:t>
      </w:r>
      <w:r>
        <w:rPr>
          <w:rFonts w:hint="eastAsia"/>
          <w:sz w:val="28"/>
          <w:szCs w:val="28"/>
          <w:u w:val="none"/>
        </w:rPr>
        <w:t xml:space="preserve"> </w:t>
      </w:r>
      <w:r>
        <w:rPr>
          <w:sz w:val="28"/>
          <w:szCs w:val="28"/>
          <w:u w:val="none"/>
        </w:rPr>
        <w:t xml:space="preserve">  </w:t>
      </w:r>
      <w:r>
        <w:rPr>
          <w:rFonts w:hint="eastAsia"/>
          <w:sz w:val="28"/>
          <w:szCs w:val="28"/>
          <w:u w:val="single"/>
          <w:lang w:val="en-US" w:eastAsia="zh-CN"/>
        </w:rPr>
        <w:t xml:space="preserve">  </w:t>
      </w:r>
      <w:r>
        <w:rPr>
          <w:rFonts w:hint="eastAsia" w:ascii="宋体" w:hAnsi="宋体" w:eastAsia="宋体" w:cs="宋体"/>
          <w:sz w:val="28"/>
          <w:szCs w:val="28"/>
          <w:u w:val="single"/>
          <w:lang w:eastAsia="zh-CN"/>
        </w:rPr>
        <w:t>计算机科学与技术学院</w:t>
      </w:r>
      <w:r>
        <w:rPr>
          <w:rFonts w:hint="eastAsia"/>
          <w:sz w:val="28"/>
          <w:szCs w:val="28"/>
          <w:u w:val="single"/>
        </w:rPr>
        <w:t xml:space="preserve"> </w:t>
      </w:r>
      <w:r>
        <w:rPr>
          <w:sz w:val="28"/>
          <w:szCs w:val="28"/>
          <w:u w:val="single"/>
        </w:rPr>
        <w:t xml:space="preserve"> </w:t>
      </w:r>
      <w:r>
        <w:rPr>
          <w:rFonts w:hint="eastAsia"/>
          <w:sz w:val="28"/>
          <w:szCs w:val="28"/>
          <w:u w:val="single"/>
          <w:lang w:val="en-US" w:eastAsia="zh-CN"/>
        </w:rPr>
        <w:t xml:space="preserve"> </w:t>
      </w:r>
      <w:r>
        <w:rPr>
          <w:sz w:val="28"/>
          <w:szCs w:val="28"/>
          <w:u w:val="none"/>
        </w:rPr>
        <w:t xml:space="preserve">  </w:t>
      </w:r>
    </w:p>
    <w:p>
      <w:pPr>
        <w:ind w:left="0" w:leftChars="600" w:firstLine="0" w:firstLineChars="0"/>
        <w:jc w:val="left"/>
        <w:rPr>
          <w:sz w:val="28"/>
          <w:szCs w:val="28"/>
          <w:u w:val="single"/>
        </w:rPr>
        <w:sectPr>
          <w:headerReference r:id="rId3" w:type="default"/>
          <w:footerReference r:id="rId4" w:type="default"/>
          <w:pgSz w:w="11906" w:h="16838"/>
          <w:pgMar w:top="1440" w:right="1800" w:bottom="1440" w:left="1800" w:header="851" w:footer="992" w:gutter="0"/>
          <w:pgNumType w:start="1"/>
          <w:cols w:space="720" w:num="1"/>
          <w:titlePg/>
          <w:docGrid w:type="lines" w:linePitch="312" w:charSpace="0"/>
        </w:sectPr>
      </w:pPr>
      <w:r>
        <w:rPr>
          <w:rFonts w:hint="eastAsia" w:ascii="宋体" w:hAnsi="宋体" w:eastAsia="宋体" w:cs="宋体"/>
          <w:spacing w:val="5"/>
          <w:kern w:val="0"/>
          <w:sz w:val="28"/>
          <w:szCs w:val="28"/>
        </w:rPr>
        <w:t>提交日期</w:t>
      </w:r>
      <w:r>
        <w:rPr>
          <w:sz w:val="30"/>
        </w:rPr>
        <w:tab/>
      </w:r>
      <w:r>
        <w:rPr>
          <w:sz w:val="30"/>
        </w:rPr>
        <w:t xml:space="preserve"> </w:t>
      </w:r>
      <w:r>
        <w:rPr>
          <w:rFonts w:hint="eastAsia"/>
          <w:sz w:val="28"/>
          <w:szCs w:val="28"/>
          <w:u w:val="none"/>
        </w:rPr>
        <w:t xml:space="preserve"> </w:t>
      </w:r>
      <w:r>
        <w:rPr>
          <w:sz w:val="28"/>
          <w:szCs w:val="28"/>
          <w:u w:val="none"/>
        </w:rPr>
        <w:t xml:space="preserve">  </w:t>
      </w:r>
      <w:r>
        <w:rPr>
          <w:sz w:val="28"/>
          <w:szCs w:val="28"/>
          <w:u w:val="single"/>
        </w:rPr>
        <w:t xml:space="preserve">      </w:t>
      </w:r>
      <w:r>
        <w:rPr>
          <w:rFonts w:hint="eastAsia" w:ascii="Times New Roman" w:hAnsi="Times New Roman" w:eastAsia="宋体" w:cs="Times New Roman"/>
          <w:sz w:val="28"/>
          <w:szCs w:val="28"/>
          <w:u w:val="single"/>
          <w:lang w:val="en-US" w:eastAsia="zh-CN"/>
        </w:rPr>
        <w:t>2017</w:t>
      </w:r>
      <w:r>
        <w:rPr>
          <w:rFonts w:hint="eastAsia" w:ascii="宋体" w:hAnsi="宋体" w:eastAsia="宋体" w:cs="宋体"/>
          <w:sz w:val="28"/>
          <w:szCs w:val="28"/>
          <w:u w:val="single"/>
          <w:lang w:eastAsia="zh-CN"/>
        </w:rPr>
        <w:t>年</w:t>
      </w:r>
      <w:r>
        <w:rPr>
          <w:rFonts w:hint="eastAsia" w:ascii="Times New Roman" w:hAnsi="Times New Roman" w:eastAsia="宋体" w:cs="Times New Roman"/>
          <w:sz w:val="28"/>
          <w:szCs w:val="28"/>
          <w:u w:val="single"/>
          <w:lang w:val="en-US" w:eastAsia="zh-CN"/>
        </w:rPr>
        <w:t>3</w:t>
      </w:r>
      <w:r>
        <w:rPr>
          <w:rFonts w:hint="eastAsia" w:ascii="宋体" w:hAnsi="宋体" w:eastAsia="宋体" w:cs="宋体"/>
          <w:sz w:val="28"/>
          <w:szCs w:val="28"/>
          <w:u w:val="single"/>
          <w:lang w:eastAsia="zh-CN"/>
        </w:rPr>
        <w:t>月</w:t>
      </w:r>
      <w:r>
        <w:rPr>
          <w:sz w:val="28"/>
          <w:szCs w:val="28"/>
          <w:u w:val="single"/>
        </w:rPr>
        <w:t xml:space="preserve">        </w:t>
      </w:r>
    </w:p>
    <w:p>
      <w:pPr>
        <w:pStyle w:val="2"/>
        <w:rPr>
          <w:rStyle w:val="11"/>
          <w:i w:val="0"/>
          <w:iCs w:val="0"/>
        </w:rPr>
      </w:pPr>
      <w:r>
        <w:rPr>
          <w:rStyle w:val="11"/>
          <w:i w:val="0"/>
          <w:iCs w:val="0"/>
        </w:rPr>
        <w:t>模因作曲</w:t>
      </w:r>
    </w:p>
    <w:p>
      <w:pPr>
        <w:ind w:firstLine="420"/>
        <w:jc w:val="center"/>
      </w:pPr>
      <w:r>
        <w:t>Enrique Muñoz, Member, IEEE, Jose Manuel Cadenas, Senior Member, IEEE,</w:t>
      </w:r>
    </w:p>
    <w:p>
      <w:pPr>
        <w:ind w:firstLine="420"/>
        <w:jc w:val="center"/>
      </w:pPr>
      <w:r>
        <w:t>Yew Soon Ong, Senior Member, IEEE, and Giovanni Acampora, Senior Member, IEEE</w:t>
      </w:r>
    </w:p>
    <w:p>
      <w:pPr>
        <w:ind w:firstLine="420"/>
        <w:jc w:val="center"/>
      </w:pPr>
    </w:p>
    <w:p>
      <w:pPr>
        <w:ind w:firstLine="422"/>
        <w:rPr>
          <w:rStyle w:val="11"/>
          <w:rFonts w:ascii="Helvetica" w:hAnsi="Helvetica" w:cs="Helvetica"/>
          <w:b/>
          <w:color w:val="333333"/>
          <w:szCs w:val="21"/>
        </w:rPr>
        <w:sectPr>
          <w:pgSz w:w="11906" w:h="16838"/>
          <w:pgMar w:top="1440" w:right="1800" w:bottom="1440" w:left="1800" w:header="851" w:footer="992" w:gutter="0"/>
          <w:cols w:space="425" w:num="1"/>
          <w:docGrid w:type="lines" w:linePitch="312" w:charSpace="0"/>
        </w:sectPr>
      </w:pPr>
    </w:p>
    <w:p>
      <w:pPr>
        <w:ind w:firstLine="422"/>
        <w:rPr>
          <w:b/>
        </w:rPr>
      </w:pPr>
      <w:r>
        <w:rPr>
          <w:rStyle w:val="11"/>
          <w:rFonts w:ascii="Helvetica" w:hAnsi="Helvetica" w:cs="Helvetica"/>
          <w:b/>
          <w:color w:val="333333"/>
          <w:szCs w:val="21"/>
        </w:rPr>
        <w:t>摘要</w:t>
      </w:r>
      <w:r>
        <w:rPr>
          <w:b/>
        </w:rPr>
        <w:t>──计算机与人工智能在艺术创作中扮演着关键角色，通过设计人造代理，能够再现人类艺术家高品质的艺术品，比如绘画与雕塑。在这方面，音乐作曲代表了能够从计算智能中极大获益的艺术学科之一，近年来在该领域进行的大量研究就是最好的证明。然而，由于人类音乐家的天才与能力，自动作曲还远远不能完美地演艺。本文通过提出一个有效的、基于音乐方法的旋律生成智能方案，减少了人类与机器作曲之间的差距。该方法受到人类作曲技巧：非数字低音技术的启发。特别地，我们将作曲技术表示成一个优化问题，并利用包含各种元启发式的自适应多代理模因方法求解它。作曲代理以低音线作为输入，协作创作高品质的音乐片段。一系列基于巴赫四音合唱的实验研究表明，不同优化策略的混合表现比传统的混合进化算法更好。</w:t>
      </w:r>
    </w:p>
    <w:p>
      <w:pPr>
        <w:ind w:firstLine="422"/>
        <w:rPr>
          <w:b/>
        </w:rPr>
      </w:pPr>
    </w:p>
    <w:p>
      <w:pPr>
        <w:ind w:firstLine="422"/>
        <w:rPr>
          <w:b/>
        </w:rPr>
      </w:pPr>
      <w:r>
        <w:rPr>
          <w:rStyle w:val="11"/>
          <w:rFonts w:ascii="Helvetica" w:hAnsi="Helvetica" w:cs="Helvetica"/>
          <w:b/>
          <w:color w:val="333333"/>
          <w:szCs w:val="21"/>
        </w:rPr>
        <w:t>关键词</w:t>
      </w:r>
      <w:r>
        <w:rPr>
          <w:b/>
        </w:rPr>
        <w:t>──自适应模因算法，自动作曲，多代理系统</w:t>
      </w:r>
    </w:p>
    <w:p>
      <w:pPr>
        <w:pStyle w:val="3"/>
      </w:pPr>
      <w:r>
        <w:rPr>
          <w:rFonts w:hint="eastAsia"/>
        </w:rPr>
        <w:t>一、简介</w:t>
      </w:r>
    </w:p>
    <w:p>
      <w:pPr>
        <w:ind w:firstLine="420"/>
      </w:pPr>
      <w:r>
        <w:rPr>
          <w:rFonts w:hint="eastAsia"/>
        </w:rPr>
        <w:t>历史上，人工智能与计算智能方法学已经普遍应用于艺术家/科学家的创作与科研活动。其中一个引人注目的成就包括人造代理的设计，其目标是再现人类艺术家创作高品质艺术品的技艺，比如绘画和雕塑等等。这项技术，称为计算机艺术，它代表了计算机应用领域的一个真正的历史性突破，因为它第一次试图复制纯粹的、人类所独有的能力：创造力。自从1965年，第一次计算机艺术展在纽约和斯图加特同时举行，人们已经在实现所谓的创造性算法方面取得了许多进步，以支持（替代）艺术家的创作。</w:t>
      </w:r>
    </w:p>
    <w:p>
      <w:pPr>
        <w:ind w:firstLine="420"/>
      </w:pPr>
      <w:r>
        <w:rPr>
          <w:rFonts w:hint="eastAsia"/>
        </w:rPr>
        <w:t>如今，人工智能已经涵盖了大量艺术创作。其中，音乐是将智能方法应用于数据处理并能从中极大获益的代表性艺术学科，正如过去几十年间在该领域进行的大量研究所见证的（见第二节 B）。事实上，对于解决不同音乐问题的研究工作可能可以追溯到计算机时代之前，比如：记谱程序、声音合成、实时演艺、数字乐器等等</w:t>
      </w:r>
      <w:r>
        <w:rPr>
          <w:rFonts w:hint="eastAsia"/>
          <w:vertAlign w:val="superscript"/>
        </w:rPr>
        <w:t>[1]</w:t>
      </w:r>
      <w:r>
        <w:rPr>
          <w:rFonts w:hint="eastAsia"/>
        </w:rPr>
        <w:t>。然而，在这些音乐问题中，算法（自动）作曲，对于计算机科学家和音乐家而言绝对都是最迷人的。事实上，许多不同的计算机技术都已经应用于该极具挑战性的领域：随机数，正式乐理语法，自动划分，分形等等。特别地，近来</w:t>
      </w:r>
      <w:r>
        <w:rPr>
          <w:rFonts w:hint="eastAsia"/>
          <w:vertAlign w:val="superscript"/>
        </w:rPr>
        <w:t>[2]</w:t>
      </w:r>
      <w:r>
        <w:rPr>
          <w:rFonts w:hint="eastAsia"/>
        </w:rPr>
        <w:t>，进化音乐被认为是一种新形式的计算机艺术方法，其重点在于通过进化算法（EA）来评估以及演化给定的音乐作品。因此，基于遗传算法（GA），遗传编程，粒子群优化（PSO）以及进化策略的音乐作曲技术，在计算机艺术领域得到越来越普遍的应用，并生成一些有趣的结果</w:t>
      </w:r>
      <w:r>
        <w:rPr>
          <w:rFonts w:hint="eastAsia"/>
          <w:vertAlign w:val="superscript"/>
        </w:rPr>
        <w:t>[1]</w:t>
      </w:r>
      <w:r>
        <w:rPr>
          <w:rFonts w:hint="eastAsia"/>
        </w:rPr>
        <w:t>。</w:t>
      </w:r>
    </w:p>
    <w:p>
      <w:pPr>
        <w:ind w:firstLine="420"/>
      </w:pPr>
      <w:r>
        <w:rPr>
          <w:rFonts w:hint="eastAsia"/>
        </w:rPr>
        <w:t>尽管如此，由于两个关键性问题，基于进化方法的自动作曲距离完善还很遥远：1）人为再现人类作曲家的天才能力的巨大挑战，2）对自动生成的旋律作美学评价的困难性。这些难点在生成技术上具有极大的相关性，比如非数字低音技术，人类作曲家为低音创造旋律，而不需要指定复调或和弦，演奏者即兴演奏这些和弦（次中音，中音，高音）以更好地调整演奏出整段音乐的和谐。</w:t>
      </w:r>
    </w:p>
    <w:p>
      <w:pPr>
        <w:ind w:firstLine="420"/>
      </w:pPr>
      <w:r>
        <w:rPr>
          <w:rFonts w:hint="eastAsia"/>
        </w:rPr>
        <w:t>本文的研究旨在提高进化算法在自动生成音乐旋律方面的能力，通过引入一个多代理系统，其包含了联合适应模因，解决了非数字低音合成技术在创作技巧与美学评估方面的缺陷。从科学的角度讲，基因指示蛋白质的合成，而模因是包含执行指令的基因的社会文化等价物</w:t>
      </w:r>
      <w:r>
        <w:rPr>
          <w:rFonts w:hint="eastAsia"/>
          <w:vertAlign w:val="superscript"/>
        </w:rPr>
        <w:t>[4]</w:t>
      </w:r>
      <w:r>
        <w:rPr>
          <w:rFonts w:hint="eastAsia"/>
        </w:rPr>
        <w:t>。受大自然的启发，此处，模因被建模为指定搜索过程的指令。特别地，我们的系统拥有基于种群和基于局部的元启发式的模因集合，此处标记为模因作曲代理，使用基于模糊决策树（FDT）的机会学习机制，能够评估每个作曲代理在生成其独有的非数字低音的强度和成熟度。在执行学习和作曲过程中，每个模因作曲代理运用基于著名的和谐规则1的创新音乐适应函数，这使得每个代理能够以精准正式的方式评估其生成的音乐作品。接着，作曲代理间使用挖掘得到的知识来合作交换信息，以有效地探索三音旋律的线间空白并进行乐曲合成，这样得到的乐曲明显优于从单个作曲代理处获得的原始乐曲</w:t>
      </w:r>
      <w:r>
        <w:rPr>
          <w:rFonts w:hint="eastAsia"/>
          <w:vertAlign w:val="superscript"/>
        </w:rPr>
        <w:t>2</w:t>
      </w:r>
      <w:r>
        <w:rPr>
          <w:rFonts w:hint="eastAsia"/>
        </w:rPr>
        <w:t>。同时，模因间的协作与竞争（为固定的访问）促进了搜索过程中音乐片段的形成（不可能由单个作曲代理得到）。</w:t>
      </w:r>
    </w:p>
    <w:p>
      <w:pPr>
        <w:ind w:firstLine="420"/>
      </w:pPr>
      <w:r>
        <w:rPr>
          <w:rFonts w:hint="eastAsia"/>
        </w:rPr>
        <w:t>如将在实验结果部分所示的，不同模因或元启发策略间的协作，允许我们的人造作曲代理对由传统的、最先进的（混合或非混合）进化算法获得的著名的巴赫四音生成曲，生成改进的解决方案并提高性能。</w:t>
      </w:r>
    </w:p>
    <w:p>
      <w:pPr>
        <w:ind w:firstLine="420"/>
      </w:pPr>
      <w:r>
        <w:rPr>
          <w:rFonts w:hint="eastAsia"/>
        </w:rPr>
        <w:t>本文的余下部分安排如下。第二部分，是关于模因算法（MA）和进化音乐的简短报告。第三部分，展示了如何将音乐作曲的非数字低音技术建模成一个优化问题。之后，在第四步分，展示了自适应模式作曲。接下来，第五部分，展示了由提出的模因音乐作曲家（MMC）得到的结果，以及其相对于传统进化音乐技术的优越性。最后，第六部分，得出结论。附录介绍了一些理解数字化低音问题的必要的音乐概念。</w:t>
      </w:r>
    </w:p>
    <w:p>
      <w:pPr>
        <w:pStyle w:val="3"/>
      </w:pPr>
      <w:r>
        <w:rPr>
          <w:rFonts w:hint="eastAsia"/>
        </w:rPr>
        <w:t>二、相关工作</w:t>
      </w:r>
    </w:p>
    <w:p>
      <w:pPr>
        <w:ind w:firstLine="420"/>
      </w:pPr>
      <w:r>
        <w:rPr>
          <w:rFonts w:hint="eastAsia"/>
        </w:rPr>
        <w:t>本节简短地介绍了近年来与模因方法和进化音乐相关的研究活动。</w:t>
      </w:r>
    </w:p>
    <w:p>
      <w:pPr>
        <w:pStyle w:val="4"/>
      </w:pPr>
      <w:r>
        <w:rPr>
          <w:rFonts w:hint="eastAsia"/>
        </w:rPr>
        <w:t>A. MA 简介</w:t>
      </w:r>
    </w:p>
    <w:p>
      <w:pPr>
        <w:ind w:firstLine="420"/>
      </w:pPr>
      <w:r>
        <w:rPr>
          <w:rFonts w:hint="eastAsia"/>
        </w:rPr>
        <w:t>MA 是旨在为复杂和困难的优化问题寻找解决方案的元启发式算法</w:t>
      </w:r>
      <w:r>
        <w:rPr>
          <w:rFonts w:hint="eastAsia"/>
          <w:vertAlign w:val="superscript"/>
        </w:rPr>
        <w:t>[2]</w:t>
      </w:r>
      <w:r>
        <w:rPr>
          <w:rFonts w:hint="eastAsia"/>
        </w:rPr>
        <w:t>。它是传统进化算法的扩展，其搜索策略包含了局部搜索优化阶段。MA 的出现是为了解决进化算法的一些固有问题，进化算法通常由于未能利用局部信息，而导致要找到一个精确的解决方案，收敛速度极慢。这通常就限制了 EA 在许多计算时间是关键的考虑因素的大规模现实问题上的实用性。</w:t>
      </w:r>
    </w:p>
    <w:p>
      <w:pPr>
        <w:ind w:firstLine="420"/>
      </w:pPr>
      <w:r>
        <w:rPr>
          <w:rFonts w:hint="eastAsia"/>
        </w:rPr>
        <w:t>从优化的角度来看</w:t>
      </w:r>
      <w:r>
        <w:rPr>
          <w:rFonts w:hint="eastAsia"/>
          <w:vertAlign w:val="superscript"/>
        </w:rPr>
        <w:t>[3]</w:t>
      </w:r>
      <w:r>
        <w:rPr>
          <w:rFonts w:hint="eastAsia"/>
        </w:rPr>
        <w:t xml:space="preserve">，MA 已经被证明更高效（比如，要求使用较少的评估来找出最优解），同时其效果在多个问题领域较传统 EA 更好（比如，找出更优的解）。以结果论，MA 正被越来越广泛地接受，特别是在众所周知的组合优化问题中。一些组合优化问题已经通过 MA 解决，得到了最优解，而使用其他元启发式方法并不能得出可比较的结果。Krasnogor 和 Smith </w:t>
      </w:r>
      <w:r>
        <w:rPr>
          <w:rFonts w:hint="eastAsia"/>
          <w:vertAlign w:val="superscript"/>
        </w:rPr>
        <w:t>[4]</w:t>
      </w:r>
      <w:r>
        <w:rPr>
          <w:rFonts w:hint="eastAsia"/>
        </w:rPr>
        <w:t xml:space="preserve"> 通过收集 MA 在许多著名的组合优化问题的应用，对该领域作了完整的回顾。</w:t>
      </w:r>
    </w:p>
    <w:p>
      <w:pPr>
        <w:ind w:firstLine="420"/>
      </w:pPr>
      <w:r>
        <w:rPr>
          <w:rFonts w:hint="eastAsia"/>
        </w:rPr>
        <w:t>然而，尽管 MA 得出的结论很有趣，设计有效且高效的 MA 的过程依旧存在缺陷。比如说，其控制参数微调的困难，这可能需要广泛的测试，具体地，找到一个适合指定问题的模因很困难</w:t>
      </w:r>
      <w:r>
        <w:rPr>
          <w:rFonts w:hint="eastAsia"/>
          <w:vertAlign w:val="superscript"/>
        </w:rPr>
        <w:t>[5]</w:t>
      </w:r>
      <w:r>
        <w:rPr>
          <w:rFonts w:hint="eastAsia"/>
        </w:rPr>
        <w:t>。 事实上，模因的选择会严重影响 MA 搜索的性能</w:t>
      </w:r>
      <w:r>
        <w:rPr>
          <w:rFonts w:hint="eastAsia"/>
          <w:vertAlign w:val="superscript"/>
        </w:rPr>
        <w:t>[6]</w:t>
      </w:r>
      <w:r>
        <w:rPr>
          <w:rFonts w:hint="eastAsia"/>
        </w:rPr>
        <w:t xml:space="preserve">。这一点已经导致了研究界开发行为能够适应待解决问题特性的 MA，以获得第三代 MA 或自适应 MA。Ong 等人 </w:t>
      </w:r>
      <w:r>
        <w:rPr>
          <w:rFonts w:hint="eastAsia"/>
          <w:vertAlign w:val="superscript"/>
        </w:rPr>
        <w:t>[7]</w:t>
      </w:r>
      <w:r>
        <w:rPr>
          <w:rFonts w:hint="eastAsia"/>
        </w:rPr>
        <w:t xml:space="preserve"> 展示了自适应 MA 的分类和比较。</w:t>
      </w:r>
    </w:p>
    <w:p>
      <w:pPr>
        <w:pStyle w:val="4"/>
      </w:pPr>
      <w:r>
        <w:rPr>
          <w:rFonts w:hint="eastAsia"/>
        </w:rPr>
        <w:t>B. 自动作曲和进化音乐</w:t>
      </w:r>
    </w:p>
    <w:p>
      <w:pPr>
        <w:ind w:firstLine="420"/>
      </w:pPr>
      <w:r>
        <w:rPr>
          <w:rFonts w:hint="eastAsia"/>
        </w:rPr>
        <w:t>旋律的自动生成是计算机艺术领域最具挑战性的问题之一，它几乎与计算机本身一样古老：《伊利亚克组曲》</w:t>
      </w:r>
      <w:r>
        <w:rPr>
          <w:rFonts w:hint="eastAsia"/>
          <w:vertAlign w:val="superscript"/>
        </w:rPr>
        <w:t>[11]，[12]</w:t>
      </w:r>
      <w:r>
        <w:rPr>
          <w:rFonts w:hint="eastAsia"/>
        </w:rPr>
        <w:t xml:space="preserve"> 是由计算机程序生成的音乐片段，其可以追溯到 1957 年，第一台计算机问世的几年之后。本节，我们将对自动作曲作一个简要回顾，并将重点关注基于进化策略的方法。该领域研究现状的完整回顾已经超出了本文的范畴。感兴趣的读者可以参考参考文献 </w:t>
      </w:r>
      <w:r>
        <w:rPr>
          <w:rFonts w:hint="eastAsia"/>
          <w:vertAlign w:val="superscript"/>
        </w:rPr>
        <w:t>[13]</w:t>
      </w:r>
      <w:r>
        <w:rPr>
          <w:rFonts w:hint="eastAsia"/>
        </w:rPr>
        <w:t xml:space="preserve"> 和 </w:t>
      </w:r>
      <w:r>
        <w:rPr>
          <w:rFonts w:hint="eastAsia"/>
          <w:vertAlign w:val="superscript"/>
        </w:rPr>
        <w:t>[14]</w:t>
      </w:r>
      <w:r>
        <w:rPr>
          <w:rFonts w:hint="eastAsia"/>
        </w:rPr>
        <w:t>，作更详细的调查。</w:t>
      </w:r>
    </w:p>
    <w:p>
      <w:pPr>
        <w:ind w:firstLine="420"/>
      </w:pPr>
      <w:r>
        <w:rPr>
          <w:rFonts w:hint="eastAsia"/>
        </w:rPr>
        <w:t xml:space="preserve">过去的几年间，数个进化方法被提出，其中一些成功地被应用于生成悦耳的音乐片段。比如说，一个基于遗传算法的自动作曲工具 GenDash 已经被著名的美国作曲家 Waschka 二世 </w:t>
      </w:r>
      <w:r>
        <w:rPr>
          <w:rFonts w:hint="eastAsia"/>
          <w:vertAlign w:val="superscript"/>
        </w:rPr>
        <w:t>[15]，[16]</w:t>
      </w:r>
      <w:r>
        <w:rPr>
          <w:rFonts w:hint="eastAsia"/>
        </w:rPr>
        <w:t xml:space="preserve"> 用于他的现场表演。其他用于作曲的遗传方法被提出：Jacob 的系统 </w:t>
      </w:r>
      <w:r>
        <w:rPr>
          <w:rFonts w:hint="eastAsia"/>
          <w:vertAlign w:val="superscript"/>
        </w:rPr>
        <w:t>[17]，[18]</w:t>
      </w:r>
      <w:r>
        <w:rPr>
          <w:rFonts w:hint="eastAsia"/>
        </w:rPr>
        <w:t xml:space="preserve"> 介绍了一个基于“耳朵”模型的 GA，用于聆听与评估生成的旋律；相反地，Waschka 的系统，完全忽略了适应度评估的阶段。GaMusic </w:t>
      </w:r>
      <w:r>
        <w:rPr>
          <w:rFonts w:hint="eastAsia"/>
          <w:vertAlign w:val="superscript"/>
        </w:rPr>
        <w:t>[19]</w:t>
      </w:r>
      <w:r>
        <w:rPr>
          <w:rFonts w:hint="eastAsia"/>
        </w:rPr>
        <w:t xml:space="preserve"> 是一个基于美学 GA 自动合成双八度音阶旋律的进化系统。Johanson 和 Poli </w:t>
      </w:r>
      <w:r>
        <w:rPr>
          <w:rFonts w:hint="eastAsia"/>
          <w:vertAlign w:val="superscript"/>
        </w:rPr>
        <w:t>[20]</w:t>
      </w:r>
      <w:r>
        <w:rPr>
          <w:rFonts w:hint="eastAsia"/>
        </w:rPr>
        <w:t xml:space="preserve"> 展示了 GP-Music 系统，这是一个能根据导师的偏好与系统自身的自主方法演化短旋律序列的遗传编程方法。Spector 和 Alpern</w:t>
      </w:r>
      <w:r>
        <w:rPr>
          <w:rFonts w:hint="eastAsia"/>
          <w:vertAlign w:val="superscript"/>
        </w:rPr>
        <w:t xml:space="preserve"> [21]，[22]</w:t>
      </w:r>
      <w:r>
        <w:rPr>
          <w:rFonts w:hint="eastAsia"/>
        </w:rPr>
        <w:t xml:space="preserve"> 提出了 GenBebop，这是一个生成即兴短爵士的系统，即所谓的“trading fours”，即兴演奏四个小节以回应另一个表演者刚刚演奏的四个小节。Biles 探讨了一个类似的方法 </w:t>
      </w:r>
      <w:r>
        <w:rPr>
          <w:rFonts w:hint="eastAsia"/>
          <w:vertAlign w:val="superscript"/>
        </w:rPr>
        <w:t>[23]-[26]</w:t>
      </w:r>
      <w:r>
        <w:rPr>
          <w:rFonts w:hint="eastAsia"/>
        </w:rPr>
        <w:t xml:space="preserve">，并设计了 GenJam，一个基于 GA 的交互式系统，也是即兴演奏 trading four。在这之后，Thywissen </w:t>
      </w:r>
      <w:r>
        <w:rPr>
          <w:rFonts w:hint="eastAsia"/>
          <w:vertAlign w:val="superscript"/>
        </w:rPr>
        <w:t>[27]</w:t>
      </w:r>
      <w:r>
        <w:rPr>
          <w:rFonts w:hint="eastAsia"/>
        </w:rPr>
        <w:t xml:space="preserve"> 设计了 GenNotator，一个混合算法的计算机辅助作曲工具。Gibson 和 Byrne</w:t>
      </w:r>
      <w:r>
        <w:rPr>
          <w:rFonts w:hint="eastAsia"/>
          <w:vertAlign w:val="superscript"/>
        </w:rPr>
        <w:t xml:space="preserve"> [28]</w:t>
      </w:r>
      <w:r>
        <w:rPr>
          <w:rFonts w:hint="eastAsia"/>
        </w:rPr>
        <w:t xml:space="preserve"> 介绍了一个生成全音阶，四部和声的短音乐片段的系统。这个系统叫做 NEUROGEN，其利用 GA 生成音乐，利用神经网络去评估生成结果的品质。Unemi</w:t>
      </w:r>
      <w:r>
        <w:rPr>
          <w:rFonts w:hint="eastAsia"/>
          <w:vertAlign w:val="superscript"/>
        </w:rPr>
        <w:t xml:space="preserve"> [29]，[30] </w:t>
      </w:r>
      <w:r>
        <w:rPr>
          <w:rFonts w:hint="eastAsia"/>
        </w:rPr>
        <w:t>创造了 SBEAT，一个交互式系统，在具有各种节奏、音高和音速的音乐模式中选择生成乐句（比如，节奏模式）。Ralley 提出了另一个基于交互式 GA 的旋律演化建议。</w:t>
      </w:r>
    </w:p>
    <w:p>
      <w:pPr>
        <w:ind w:firstLine="420"/>
      </w:pPr>
      <w:r>
        <w:rPr>
          <w:rFonts w:hint="eastAsia"/>
        </w:rPr>
        <w:t>这里关注一下 De Prisco 和 Zaccagnino</w:t>
      </w:r>
      <w:r>
        <w:rPr>
          <w:rFonts w:hint="eastAsia"/>
          <w:vertAlign w:val="superscript"/>
        </w:rPr>
        <w:t xml:space="preserve"> [45]</w:t>
      </w:r>
      <w:r>
        <w:rPr>
          <w:rFonts w:hint="eastAsia"/>
        </w:rPr>
        <w:t>，因为他们试图用 GA 解决数字低音问题。然而，他们并没有用数学的方法将搜索形式化为优化问题。此外，我们提出的进化方法包括了各种元启发式自适应模因代理，比之简单的 GA，能够更有效且高效地发现高品质且创造性的解决方案。特别地，我们的方法采用在线搜索过程中先验执行的元启发式自动提取的知识，因此，能够很好地自适应待解实例。更深入地说，与单个模因代理相比，采用协作与竞争的模式，能取得更好的结果，并促进创意音乐片段的生成，而这在仅采用单个模因代理的情况是无法实现的。</w:t>
      </w:r>
    </w:p>
    <w:p>
      <w:pPr>
        <w:pStyle w:val="3"/>
        <w:sectPr>
          <w:type w:val="continuous"/>
          <w:pgSz w:w="11906" w:h="16838"/>
          <w:pgMar w:top="1440" w:right="1800" w:bottom="1440" w:left="1800" w:header="851" w:footer="992" w:gutter="0"/>
          <w:cols w:space="425" w:num="2"/>
          <w:docGrid w:type="lines" w:linePitch="312" w:charSpace="0"/>
        </w:sectPr>
      </w:pPr>
    </w:p>
    <w:p>
      <w:pPr>
        <w:ind w:firstLine="420"/>
      </w:pPr>
      <w:r>
        <w:drawing>
          <wp:inline distT="0" distB="0" distL="0" distR="0">
            <wp:extent cx="5274310" cy="2352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352040"/>
                    </a:xfrm>
                    <a:prstGeom prst="rect">
                      <a:avLst/>
                    </a:prstGeom>
                  </pic:spPr>
                </pic:pic>
              </a:graphicData>
            </a:graphic>
          </wp:inline>
        </w:drawing>
      </w:r>
    </w:p>
    <w:p>
      <w:pPr>
        <w:pStyle w:val="5"/>
        <w:ind w:firstLine="400"/>
        <w:jc w:val="center"/>
      </w:pPr>
      <w:bookmarkStart w:id="0" w:name="_Ref4748460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bookmarkEnd w:id="0"/>
    </w:p>
    <w:p>
      <w:pPr>
        <w:pStyle w:val="3"/>
        <w:sectPr>
          <w:type w:val="continuous"/>
          <w:pgSz w:w="11906" w:h="16838"/>
          <w:pgMar w:top="1440" w:right="1800" w:bottom="1440" w:left="1800" w:header="851" w:footer="992" w:gutter="0"/>
          <w:cols w:space="425" w:num="1"/>
          <w:docGrid w:type="lines" w:linePitch="312" w:charSpace="0"/>
        </w:sectPr>
      </w:pPr>
    </w:p>
    <w:p>
      <w:pPr>
        <w:pStyle w:val="3"/>
      </w:pPr>
      <w:r>
        <w:rPr>
          <w:rFonts w:hint="eastAsia"/>
        </w:rPr>
        <w:t>三、非数字低音作曲作为 NP 难搜索问题</w:t>
      </w:r>
    </w:p>
    <w:p>
      <w:pPr>
        <w:ind w:firstLine="420"/>
      </w:pPr>
      <w:r>
        <w:rPr>
          <w:rFonts w:hint="eastAsia"/>
        </w:rPr>
        <w:t>本节，提供了非数字低音技术形式化表示为 NP 难优化问题的方法。如前所述，人类作曲家可以使用非数字低音技术创作低音旋律，但他/她又不必指定和声，比如，对应其他三个音：1）次中音；2）中音；3）高音；然后，演奏乐曲的时候，表演者需要即兴演奏和弦</w:t>
      </w:r>
      <w:r>
        <w:rPr>
          <w:rFonts w:hint="eastAsia"/>
          <w:vertAlign w:val="superscript"/>
        </w:rPr>
        <w:t>3</w:t>
      </w:r>
      <w:r>
        <w:rPr>
          <w:rFonts w:hint="eastAsia"/>
        </w:rPr>
        <w:t>以保证乐段的和谐。因此，这项作曲技术视为一个优化问题，以一个给定的低音线作为输入，生成最合适的（美学上的）三个音，完成一个四音节。</w:t>
      </w:r>
    </w:p>
    <w:p>
      <w:pPr>
        <w:ind w:firstLine="420"/>
      </w:pPr>
      <w:r>
        <w:rPr>
          <w:rFonts w:hint="eastAsia"/>
        </w:rPr>
        <w:t>然而，因为没有关于完成四音节所需的三个音节的先验知识，将非数字低音技术形式化地建模为优化问题，并通过进化进化求解它是相当困难度。事实上，缺少这样的信息，要创建可行解的初始种群是不可能的。因此，用数字标出低音部，对于获取给定低音线的合适初始三音节知识，从而最终将自动作曲定义为拥有其适应函数和约束条件的优化问题是必要的。</w:t>
      </w:r>
    </w:p>
    <w:p>
      <w:pPr>
        <w:ind w:firstLine="420"/>
      </w:pPr>
      <w:r>
        <w:fldChar w:fldCharType="begin"/>
      </w:r>
      <w:r>
        <w:instrText xml:space="preserve"> </w:instrText>
      </w:r>
      <w:r>
        <w:rPr>
          <w:rFonts w:hint="eastAsia"/>
        </w:rPr>
        <w:instrText xml:space="preserve">REF _Ref474846012 \h</w:instrText>
      </w:r>
      <w:r>
        <w:instrText xml:space="preserve"> </w:instrText>
      </w:r>
      <w:r>
        <w:fldChar w:fldCharType="separate"/>
      </w:r>
      <w:r>
        <w:rPr>
          <w:rFonts w:hint="eastAsia"/>
        </w:rPr>
        <w:t xml:space="preserve">图 </w:t>
      </w:r>
      <w:r>
        <w:t>1</w:t>
      </w:r>
      <w:r>
        <w:fldChar w:fldCharType="end"/>
      </w:r>
      <w:r>
        <w:rPr>
          <w:rFonts w:hint="eastAsia"/>
        </w:rPr>
        <w:t>是我们提出的作曲过程的一个例子：（a）表示输入（低音线）；（b）标出了和谐音符（称为 HN）；（c）添加了指示最恰当旋律（生成步骤）的符号；（d）展示了最终的解，比方说，使用进化方法求得。</w:t>
      </w:r>
    </w:p>
    <w:p>
      <w:pPr>
        <w:pStyle w:val="5"/>
        <w:ind w:firstLine="400"/>
        <w:jc w:val="center"/>
      </w:pPr>
      <w:r>
        <w:t xml:space="preserve">表 </w:t>
      </w:r>
      <w:r>
        <w:fldChar w:fldCharType="begin"/>
      </w:r>
      <w:r>
        <w:instrText xml:space="preserve"> SEQ 表 \* ARABIC </w:instrText>
      </w:r>
      <w:r>
        <w:fldChar w:fldCharType="separate"/>
      </w:r>
      <w:r>
        <w:t>1</w:t>
      </w:r>
      <w:r>
        <w:fldChar w:fldCharType="end"/>
      </w:r>
    </w:p>
    <w:p>
      <w:pPr>
        <w:ind w:firstLine="420"/>
        <w:jc w:val="center"/>
      </w:pPr>
      <w:r>
        <w:drawing>
          <wp:inline distT="0" distB="0" distL="0" distR="0">
            <wp:extent cx="1954530" cy="756285"/>
            <wp:effectExtent l="0" t="0" r="762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1982918" cy="767500"/>
                    </a:xfrm>
                    <a:prstGeom prst="rect">
                      <a:avLst/>
                    </a:prstGeom>
                  </pic:spPr>
                </pic:pic>
              </a:graphicData>
            </a:graphic>
          </wp:inline>
        </w:drawing>
      </w:r>
    </w:p>
    <w:p>
      <w:pPr>
        <w:pStyle w:val="4"/>
      </w:pPr>
      <w:r>
        <w:rPr>
          <w:rFonts w:hint="eastAsia"/>
        </w:rPr>
        <w:t>A. 标注低音部步骤：从非数字到数字低音</w:t>
      </w:r>
    </w:p>
    <w:p>
      <w:pPr>
        <w:ind w:firstLine="420"/>
      </w:pPr>
      <w:r>
        <w:rPr>
          <w:rFonts w:hint="eastAsia"/>
        </w:rPr>
        <w:t>标注低音的步骤决定了给定的输入低音线中哪些和弦能够产生最动听的旋律。从优化的角度来看，这个步骤缩小了搜索空间，根据传统和谐规则，将搜索空间从一个包含由低音线得出的所有可能和弦的空间，缩小为一个子集，该子集中的和弦能够产生更好的最终乐曲。准确地说，标注低音步骤是动态规划实现的。</w:t>
      </w:r>
    </w:p>
    <w:p>
      <w:pPr>
        <w:ind w:firstLine="420"/>
      </w:pPr>
      <w:r>
        <w:rPr>
          <w:rFonts w:hint="eastAsia"/>
        </w:rPr>
        <w:t>然而，并非所有低音线上的音符都在标注低音步骤的考虑范围内。在标注低音步骤中，分析得到的音符子集，由输入的低音线中的音符决定，同时，生成的节奏的节拍长度，也由低音线决定。节奏通常由时间节拍来指定（图 1 所示的例子，为</w:t>
      </w:r>
      <w:r>
        <w:t xml:space="preserve"> </w:t>
      </w:r>
      <w:r>
        <w:rPr>
          <w:rFonts w:hint="eastAsia"/>
        </w:rPr>
        <w:t>)，其中，表示拍子，表示长度。特别地，我们使用基本时间单元作为一个拍子的长度。一个节拍中所有的音符都显示在标注低音中。我们也允许音符的长度超过拍子的长度（事实上，大多都是如此）。但是，如果一个输入音符短于拍子长度，那么，我们仅在音符处于节拍上时才考虑它（否则，忽略它）。我们通过 HN 来指定需要做低音标注的音符。</w:t>
      </w:r>
    </w:p>
    <w:p>
      <w:pPr>
        <w:ind w:firstLine="420"/>
      </w:pPr>
      <w:r>
        <w:rPr>
          <w:rFonts w:hint="eastAsia"/>
        </w:rPr>
        <w:t>因此，在低音标注步骤中，我们通过为和弦集中的两个连续音符的和弦赋予权重，来为低音线中每个 HN 选择最合适的和弦。这些权重代表著名的和谐规则，表示哪些和弦序列更和谐（见</w:t>
      </w:r>
      <w:r>
        <w:rPr>
          <w:rFonts w:hint="eastAsia"/>
          <w:vertAlign w:val="superscript"/>
        </w:rPr>
        <w:t>[36]</w:t>
      </w:r>
      <w:r>
        <w:rPr>
          <w:rFonts w:hint="eastAsia"/>
        </w:rPr>
        <w:t>）。那些更普通的和弦序列将被赋予更大的权值，其他的则赋更低的权值。注意，序列中前一个和弦的修改，会改变当前和弦的权值。</w:t>
      </w:r>
    </w:p>
    <w:p>
      <w:pPr>
        <w:ind w:firstLine="420"/>
      </w:pPr>
      <w:r>
        <w:rPr>
          <w:rFonts w:hint="eastAsia"/>
        </w:rPr>
        <w:t>我们使用以下标准为每对连续的 HN 分配权值，其中 c</w:t>
      </w:r>
      <w:r>
        <w:rPr>
          <w:rFonts w:hint="eastAsia"/>
          <w:vertAlign w:val="subscript"/>
        </w:rPr>
        <w:t>1</w:t>
      </w:r>
      <w:r>
        <w:rPr>
          <w:rFonts w:hint="eastAsia"/>
        </w:rPr>
        <w:t xml:space="preserve"> 和 c</w:t>
      </w:r>
      <w:r>
        <w:rPr>
          <w:rFonts w:hint="eastAsia"/>
          <w:vertAlign w:val="subscript"/>
        </w:rPr>
        <w:t>2</w:t>
      </w:r>
      <w:r>
        <w:rPr>
          <w:rFonts w:hint="eastAsia"/>
        </w:rPr>
        <w:t xml:space="preserve"> 分别代表序列中第一个和第二个 HN 的和弦：</w:t>
      </w:r>
    </w:p>
    <w:p>
      <w:pPr>
        <w:ind w:firstLine="420"/>
      </w:pPr>
      <w:r>
        <w:rPr>
          <w:rFonts w:hint="eastAsia"/>
        </w:rPr>
        <w:t>1）c</w:t>
      </w:r>
      <w:r>
        <w:rPr>
          <w:rFonts w:hint="eastAsia"/>
          <w:vertAlign w:val="subscript"/>
        </w:rPr>
        <w:t>1</w:t>
      </w:r>
      <w:r>
        <w:rPr>
          <w:rFonts w:hint="eastAsia"/>
        </w:rPr>
        <w:t xml:space="preserve"> 和 c</w:t>
      </w:r>
      <w:r>
        <w:rPr>
          <w:rFonts w:hint="eastAsia"/>
          <w:vertAlign w:val="subscript"/>
        </w:rPr>
        <w:t>2</w:t>
      </w:r>
      <w:r>
        <w:rPr>
          <w:rFonts w:hint="eastAsia"/>
        </w:rPr>
        <w:t xml:space="preserve"> 是相同的大调和弦。权重的赋值见表 1。 2）c</w:t>
      </w:r>
      <w:r>
        <w:rPr>
          <w:rFonts w:hint="eastAsia"/>
          <w:vertAlign w:val="subscript"/>
        </w:rPr>
        <w:t>1</w:t>
      </w:r>
      <w:r>
        <w:rPr>
          <w:rFonts w:hint="eastAsia"/>
        </w:rPr>
        <w:t xml:space="preserve"> 和 c</w:t>
      </w:r>
      <w:r>
        <w:rPr>
          <w:rFonts w:hint="eastAsia"/>
          <w:vertAlign w:val="subscript"/>
        </w:rPr>
        <w:t>2</w:t>
      </w:r>
      <w:r>
        <w:rPr>
          <w:rFonts w:hint="eastAsia"/>
        </w:rPr>
        <w:t xml:space="preserve"> 是相同的小调和弦。权重的赋值见表 2。 3）c</w:t>
      </w:r>
      <w:r>
        <w:rPr>
          <w:rFonts w:hint="eastAsia"/>
          <w:vertAlign w:val="subscript"/>
        </w:rPr>
        <w:t>1</w:t>
      </w:r>
      <w:r>
        <w:rPr>
          <w:rFonts w:hint="eastAsia"/>
        </w:rPr>
        <w:t xml:space="preserve"> 和 c</w:t>
      </w:r>
      <w:r>
        <w:rPr>
          <w:rFonts w:hint="eastAsia"/>
          <w:vertAlign w:val="subscript"/>
        </w:rPr>
        <w:t>2</w:t>
      </w:r>
      <w:r>
        <w:rPr>
          <w:rFonts w:hint="eastAsia"/>
        </w:rPr>
        <w:t xml:space="preserve"> 是从一个大调到另一个大调，或从一个小调到另一个小调。权重的赋值见表 3。 4）c</w:t>
      </w:r>
      <w:r>
        <w:rPr>
          <w:rFonts w:hint="eastAsia"/>
          <w:vertAlign w:val="subscript"/>
        </w:rPr>
        <w:t>1</w:t>
      </w:r>
      <w:r>
        <w:rPr>
          <w:rFonts w:hint="eastAsia"/>
        </w:rPr>
        <w:t xml:space="preserve"> 和 c</w:t>
      </w:r>
      <w:r>
        <w:rPr>
          <w:rFonts w:hint="eastAsia"/>
          <w:vertAlign w:val="subscript"/>
        </w:rPr>
        <w:t>2</w:t>
      </w:r>
      <w:r>
        <w:rPr>
          <w:rFonts w:hint="eastAsia"/>
        </w:rPr>
        <w:t xml:space="preserve"> 是从一个大调到一个小调，或从一个小调到一个大调。权重的赋值见表 4。</w:t>
      </w:r>
    </w:p>
    <w:p>
      <w:pPr>
        <w:pStyle w:val="5"/>
        <w:keepNext/>
        <w:ind w:firstLine="400"/>
      </w:pPr>
      <w:r>
        <w:t xml:space="preserve">表 </w:t>
      </w:r>
      <w:r>
        <w:fldChar w:fldCharType="begin"/>
      </w:r>
      <w:r>
        <w:instrText xml:space="preserve"> SEQ 表 \* ARABIC </w:instrText>
      </w:r>
      <w:r>
        <w:fldChar w:fldCharType="separate"/>
      </w:r>
      <w:r>
        <w:t>2</w:t>
      </w:r>
      <w:r>
        <w:fldChar w:fldCharType="end"/>
      </w:r>
    </w:p>
    <w:p>
      <w:pPr>
        <w:ind w:firstLine="0" w:firstLineChars="0"/>
      </w:pPr>
      <w:r>
        <w:drawing>
          <wp:inline distT="0" distB="0" distL="0" distR="0">
            <wp:extent cx="2634615" cy="11442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2647043" cy="1149685"/>
                    </a:xfrm>
                    <a:prstGeom prst="rect">
                      <a:avLst/>
                    </a:prstGeom>
                  </pic:spPr>
                </pic:pic>
              </a:graphicData>
            </a:graphic>
          </wp:inline>
        </w:drawing>
      </w:r>
    </w:p>
    <w:p>
      <w:pPr>
        <w:pStyle w:val="5"/>
        <w:keepNext/>
        <w:ind w:firstLine="400"/>
      </w:pPr>
      <w:r>
        <w:t xml:space="preserve">表 </w:t>
      </w:r>
      <w:r>
        <w:fldChar w:fldCharType="begin"/>
      </w:r>
      <w:r>
        <w:instrText xml:space="preserve"> SEQ 表 \* ARABIC </w:instrText>
      </w:r>
      <w:r>
        <w:fldChar w:fldCharType="separate"/>
      </w:r>
      <w:r>
        <w:t>3</w:t>
      </w:r>
      <w:r>
        <w:fldChar w:fldCharType="end"/>
      </w:r>
    </w:p>
    <w:p>
      <w:pPr>
        <w:ind w:firstLine="0" w:firstLineChars="0"/>
      </w:pPr>
      <w:r>
        <w:drawing>
          <wp:inline distT="0" distB="0" distL="0" distR="0">
            <wp:extent cx="2606040" cy="1363345"/>
            <wp:effectExtent l="0" t="0" r="381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2617411" cy="1369150"/>
                    </a:xfrm>
                    <a:prstGeom prst="rect">
                      <a:avLst/>
                    </a:prstGeom>
                  </pic:spPr>
                </pic:pic>
              </a:graphicData>
            </a:graphic>
          </wp:inline>
        </w:drawing>
      </w:r>
    </w:p>
    <w:p>
      <w:pPr>
        <w:pStyle w:val="5"/>
        <w:keepNext/>
        <w:ind w:firstLine="400"/>
      </w:pPr>
      <w:r>
        <w:t xml:space="preserve">表 </w:t>
      </w:r>
      <w:r>
        <w:fldChar w:fldCharType="begin"/>
      </w:r>
      <w:r>
        <w:instrText xml:space="preserve"> SEQ 表 \* ARABIC </w:instrText>
      </w:r>
      <w:r>
        <w:fldChar w:fldCharType="separate"/>
      </w:r>
      <w:r>
        <w:t>4</w:t>
      </w:r>
      <w:r>
        <w:fldChar w:fldCharType="end"/>
      </w:r>
    </w:p>
    <w:p>
      <w:pPr>
        <w:ind w:firstLine="0" w:firstLineChars="0"/>
        <w:jc w:val="center"/>
      </w:pPr>
      <w:r>
        <w:drawing>
          <wp:inline distT="0" distB="0" distL="0" distR="0">
            <wp:extent cx="2162175" cy="1191895"/>
            <wp:effectExtent l="0" t="0" r="952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2188669" cy="1206210"/>
                    </a:xfrm>
                    <a:prstGeom prst="rect">
                      <a:avLst/>
                    </a:prstGeom>
                  </pic:spPr>
                </pic:pic>
              </a:graphicData>
            </a:graphic>
          </wp:inline>
        </w:drawing>
      </w:r>
    </w:p>
    <w:p>
      <w:pPr>
        <w:ind w:firstLine="420"/>
      </w:pPr>
      <w:r>
        <w:rPr>
          <w:rFonts w:hint="eastAsia"/>
        </w:rPr>
        <w:t>我们使用动态规划的方法（见算法 1）来计算最合适的和弦集，其元素是可能与第 i 个 HN 相关的和弦 Ci。该算法输出得到的解，是与原非数字低音线关联的数字低音版。下一节，我们将用数字低音线来定义 NP 难优化问题，其得到的高效解决方案对应于高品质的音乐作曲活动。</w:t>
      </w:r>
    </w:p>
    <w:p>
      <w:pPr>
        <w:pStyle w:val="4"/>
      </w:pPr>
      <w:r>
        <w:rPr>
          <w:rFonts w:hint="eastAsia"/>
        </w:rPr>
        <w:t>B. 将数字低音技术形式化为优化问题</w:t>
      </w:r>
    </w:p>
    <w:p>
      <w:pPr>
        <w:ind w:firstLine="420"/>
      </w:pPr>
      <w:r>
        <w:rPr>
          <w:rFonts w:hint="eastAsia"/>
        </w:rPr>
        <w:t>假设集合 V 中，有 n 个 HN，其中每个 HN 都可以被演奏为一个和弦 c</w:t>
      </w:r>
      <w:r>
        <w:rPr>
          <w:rFonts w:hint="eastAsia"/>
          <w:vertAlign w:val="subscript"/>
        </w:rPr>
        <w:t>i</w:t>
      </w:r>
      <w:r>
        <w:rPr>
          <w:rFonts w:hint="eastAsia"/>
        </w:rPr>
        <w:t>，而 c</w:t>
      </w:r>
      <w:r>
        <w:rPr>
          <w:rFonts w:hint="eastAsia"/>
          <w:vertAlign w:val="subscript"/>
        </w:rPr>
        <w:t>i</w:t>
      </w:r>
      <w:r>
        <w:rPr>
          <w:rFonts w:hint="eastAsia"/>
        </w:rPr>
        <w:t xml:space="preserve"> 是由低音标注阶段获得的 C</w:t>
      </w:r>
      <w:r>
        <w:rPr>
          <w:rFonts w:hint="eastAsia"/>
          <w:vertAlign w:val="subscript"/>
        </w:rPr>
        <w:t xml:space="preserve">i </w:t>
      </w:r>
      <w:r>
        <w:rPr>
          <w:rFonts w:hint="eastAsia"/>
        </w:rPr>
        <w:t>的可获得集。我们定义 c = {c</w:t>
      </w:r>
      <w:r>
        <w:rPr>
          <w:rFonts w:hint="eastAsia"/>
          <w:vertAlign w:val="subscript"/>
        </w:rPr>
        <w:t>1</w:t>
      </w:r>
      <w:r>
        <w:rPr>
          <w:rFonts w:hint="eastAsia"/>
        </w:rPr>
        <w:t>, ..., c</w:t>
      </w:r>
      <w:r>
        <w:rPr>
          <w:rFonts w:hint="eastAsia"/>
          <w:vertAlign w:val="subscript"/>
        </w:rPr>
        <w:t>n</w:t>
      </w:r>
      <w:r>
        <w:rPr>
          <w:rFonts w:hint="eastAsia"/>
        </w:rPr>
        <w:t>} 作为协奏曲，而ξ(c) 作为通过演奏 c 获得的全局美学收益。数字低音问题需要找到最大化ξ(c) 的最优协奏曲 c</w:t>
      </w:r>
      <w:r>
        <w:rPr>
          <w:rFonts w:hint="eastAsia"/>
          <w:vertAlign w:val="superscript"/>
        </w:rPr>
        <w:t>*</w:t>
      </w:r>
      <w:r>
        <w:rPr>
          <w:rFonts w:hint="eastAsia"/>
        </w:rPr>
        <w:t>。</w:t>
      </w:r>
    </w:p>
    <w:p>
      <w:pPr>
        <w:ind w:firstLine="420"/>
      </w:pPr>
      <w:r>
        <w:drawing>
          <wp:inline distT="0" distB="0" distL="0" distR="0">
            <wp:extent cx="2250440" cy="2501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tretch>
                      <a:fillRect/>
                    </a:stretch>
                  </pic:blipFill>
                  <pic:spPr>
                    <a:xfrm>
                      <a:off x="0" y="0"/>
                      <a:ext cx="2258964" cy="2511234"/>
                    </a:xfrm>
                    <a:prstGeom prst="rect">
                      <a:avLst/>
                    </a:prstGeom>
                  </pic:spPr>
                </pic:pic>
              </a:graphicData>
            </a:graphic>
          </wp:inline>
        </w:drawing>
      </w:r>
    </w:p>
    <w:p>
      <w:pPr>
        <w:ind w:firstLine="420"/>
      </w:pPr>
      <w:r>
        <w:rPr>
          <w:rFonts w:hint="eastAsia"/>
        </w:rPr>
        <w:t>在这个问题中，我们将ξ(c)近似成每个 HN 获得的局部奖励总和。另外，我们可以假设这些奖励依赖于 c</w:t>
      </w:r>
      <w:r>
        <w:rPr>
          <w:rFonts w:hint="eastAsia"/>
          <w:vertAlign w:val="subscript"/>
        </w:rPr>
        <w:t>i</w:t>
      </w:r>
      <w:r>
        <w:rPr>
          <w:rFonts w:hint="eastAsia"/>
        </w:rPr>
        <w:t>（为 HN i 选择的和弦）和 从 V 的子集中选择的和弦，定义为 T(i)，表示 HN i 的邻域。用于确定每个局部奖励的和弦集合被定义为 c</w:t>
      </w:r>
      <w:r>
        <w:rPr>
          <w:rFonts w:hint="eastAsia"/>
          <w:vertAlign w:val="subscript"/>
        </w:rPr>
        <w:t>i</w:t>
      </w:r>
      <w:r>
        <w:rPr>
          <w:rFonts w:hint="eastAsia"/>
        </w:rPr>
        <w:t>，其从中取值。所以，我们定义由和弦获得的局部奖励为，定义全局奖励为</w:t>
      </w:r>
    </w:p>
    <w:p>
      <w:pPr>
        <w:ind w:firstLine="420"/>
      </w:pPr>
      <w:r>
        <w:rPr>
          <w:rFonts w:hint="eastAsia"/>
        </w:rPr>
        <w:t>本文中，我们仅考虑定义在最多两个和弦上的奖励函数。因此，我们可以将问题表示成无向图 G = (V, E)，其中每个点 表示一个 HN，而每条边 表示相关 HN 间的相互影响。因此，有 及 。当仅考虑两个和弦间的关系时，图的边就变成了仅连接两个连续的 HN。这张图被称为协调图 (HG)。根据以下全局奖励的记法，ξ(c) 可以重写成</w:t>
      </w:r>
    </w:p>
    <w:p>
      <w:pPr>
        <w:ind w:firstLine="420"/>
        <w:rPr>
          <w:rFonts w:hint="eastAsia"/>
        </w:rPr>
      </w:pPr>
    </w:p>
    <w:p>
      <w:pPr>
        <w:ind w:firstLine="420"/>
      </w:pPr>
      <w:r>
        <w:rPr>
          <w:rFonts w:hint="eastAsia"/>
        </w:rPr>
        <w:t>其中  是使用和弦 c</w:t>
      </w:r>
      <w:r>
        <w:rPr>
          <w:rFonts w:hint="eastAsia"/>
          <w:vertAlign w:val="subscript"/>
        </w:rPr>
        <w:t>i</w:t>
      </w:r>
      <w:r>
        <w:rPr>
          <w:rFonts w:hint="eastAsia"/>
        </w:rPr>
        <w:t xml:space="preserve"> 演奏时，由 HN i 得到的奖励，是由和弦对得到的奖励。</w:t>
      </w:r>
    </w:p>
    <w:p>
      <w:pPr>
        <w:ind w:firstLine="420"/>
      </w:pPr>
      <w:r>
        <w:rPr>
          <w:rFonts w:hint="eastAsia"/>
        </w:rPr>
        <w:t>要定义函数  和，我们需要从普通练习时段引入音乐作曲的规则。特别地，我们考虑一个美学规则集，其细节可参见表 5。这些规则表明了对违反规则的惩罚，而不是奖励。因此，它们是消极的。举例来说，如果一个音的第四跳做了增强，将收到值为 100 的惩罚。对一些违规（我们称之为严重错误），将会受到更严重的惩罚。比方说，如果一个音跳超过八度或者两个音曝光了平行五度，可考虑予以 3000 的惩罚。</w:t>
      </w:r>
    </w:p>
    <w:p>
      <w:pPr>
        <w:ind w:firstLine="420"/>
      </w:pPr>
      <w:r>
        <w:drawing>
          <wp:inline distT="0" distB="0" distL="0" distR="0">
            <wp:extent cx="1916430" cy="248539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stretch>
                      <a:fillRect/>
                    </a:stretch>
                  </pic:blipFill>
                  <pic:spPr>
                    <a:xfrm>
                      <a:off x="0" y="0"/>
                      <a:ext cx="1924591" cy="2495619"/>
                    </a:xfrm>
                    <a:prstGeom prst="rect">
                      <a:avLst/>
                    </a:prstGeom>
                  </pic:spPr>
                </pic:pic>
              </a:graphicData>
            </a:graphic>
          </wp:inline>
        </w:drawing>
      </w:r>
    </w:p>
    <w:p>
      <w:pPr>
        <w:ind w:firstLine="420"/>
      </w:pPr>
      <w:r>
        <w:rPr>
          <w:rFonts w:hint="eastAsia"/>
        </w:rPr>
        <w:t xml:space="preserve">这个问题等价于在一个图模型中寻找随机变量的最大后验配置问题，一个从蛋白质折叠到图像处理的应用的重要问题。总而言之，这是一个 NP 难问题 </w:t>
      </w:r>
      <w:r>
        <w:rPr>
          <w:rFonts w:hint="eastAsia"/>
          <w:vertAlign w:val="superscript"/>
        </w:rPr>
        <w:t>[44]</w:t>
      </w:r>
      <w:r>
        <w:rPr>
          <w:rFonts w:hint="eastAsia"/>
        </w:rPr>
        <w:t>。因此，确定性方法不可能找到最优解，或者需要花费太多时间才能找出最优解，特别是当实例的大小很大时，比如数字低音问题。解决该问题的一个好的策略是，搜索具有高品质的、好的近似解，即使它们不是最优解。在这方面，也许可以使用近似策略，比如 MA，它可以在一个合理的时间内找出好的近似解。本文中，我们应用该策略以应对数字低音问题表示问题，使用并调整应用优化代理集的方法，通过合作，得到能够自适应问题的不同情况的模因策略。</w:t>
      </w:r>
    </w:p>
    <w:p>
      <w:pPr>
        <w:ind w:firstLine="420"/>
        <w:sectPr>
          <w:type w:val="continuous"/>
          <w:pgSz w:w="11906" w:h="16838"/>
          <w:pgMar w:top="1440" w:right="1800" w:bottom="1440" w:left="1800" w:header="851" w:footer="992" w:gutter="0"/>
          <w:cols w:space="425" w:num="2"/>
          <w:docGrid w:type="lines" w:linePitch="312" w:charSpace="0"/>
        </w:sectPr>
      </w:pPr>
    </w:p>
    <w:p>
      <w:pPr>
        <w:ind w:firstLine="420"/>
        <w:jc w:val="center"/>
      </w:pPr>
      <w:r>
        <w:drawing>
          <wp:inline distT="0" distB="0" distL="0" distR="0">
            <wp:extent cx="4620895" cy="2069465"/>
            <wp:effectExtent l="0" t="0" r="825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stretch>
                      <a:fillRect/>
                    </a:stretch>
                  </pic:blipFill>
                  <pic:spPr>
                    <a:xfrm>
                      <a:off x="0" y="0"/>
                      <a:ext cx="4664395" cy="2089412"/>
                    </a:xfrm>
                    <a:prstGeom prst="rect">
                      <a:avLst/>
                    </a:prstGeom>
                  </pic:spPr>
                </pic:pic>
              </a:graphicData>
            </a:graphic>
          </wp:inline>
        </w:drawing>
      </w:r>
    </w:p>
    <w:p>
      <w:pPr>
        <w:pStyle w:val="5"/>
        <w:ind w:firstLine="40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p>
    <w:p>
      <w:pPr>
        <w:pStyle w:val="2"/>
        <w:sectPr>
          <w:type w:val="continuous"/>
          <w:pgSz w:w="11906" w:h="16838"/>
          <w:pgMar w:top="1440" w:right="1800" w:bottom="1440" w:left="1800" w:header="851" w:footer="992" w:gutter="0"/>
          <w:cols w:space="425" w:num="1"/>
          <w:docGrid w:type="lines" w:linePitch="312" w:charSpace="0"/>
        </w:sectPr>
      </w:pPr>
    </w:p>
    <w:p>
      <w:pPr>
        <w:pStyle w:val="3"/>
      </w:pPr>
      <w:r>
        <w:rPr>
          <w:rFonts w:hint="eastAsia"/>
        </w:rPr>
        <w:t>四、通过作曲代理间的合作与竞争进行音乐作曲</w:t>
      </w:r>
    </w:p>
    <w:p>
      <w:pPr>
        <w:ind w:firstLine="420"/>
      </w:pPr>
      <w:r>
        <w:rPr>
          <w:rFonts w:hint="eastAsia"/>
        </w:rPr>
        <w:t>本节，我们将介绍一个自动作曲的框架（见图 2）。通过解决第三部分介绍的问题，采用通用练习生成规则，其能够得到高质量的音乐片段。</w:t>
      </w:r>
    </w:p>
    <w:p>
      <w:pPr>
        <w:ind w:firstLine="420"/>
      </w:pPr>
      <w:r>
        <w:rPr>
          <w:rFonts w:hint="eastAsia"/>
        </w:rPr>
        <w:t>从一个高层次的观点来看，该框架被设计成一个多代理系统，具有两个关键步骤：第一步，一个基于种群的作曲代理以（数字）低音线作为输入，并行地以自适应的方式进行协作，以高效地探索四音音乐片段的空间，找出一个合适的旋律子空间。第二步，一个局部作曲代理并行地以自适应的方式探索由基于人群的代理计算得到的区域，并找出一个高品质的四音音乐片段来完成输入的低音线。特别地，我们使用了六个不同的模因作曲代理，三个进化作曲代理，分别是 GA，PSO，和蚁群优化（ACO），和三个局部作曲代理，分别是禁忌搜索（TS），模拟退货（SA），和可变邻域搜索（VNS）。</w:t>
      </w:r>
    </w:p>
    <w:p>
      <w:pPr>
        <w:ind w:firstLine="420"/>
      </w:pPr>
      <w:r>
        <w:rPr>
          <w:rFonts w:hint="eastAsia"/>
        </w:rPr>
        <w:t>这个多代理系统的写作和自适应功能由所谓的协调代理提供，能够学习并掌握每一代进化和局部作曲代理在以给定低音线为输入，演化四音旋律的优势与特色。更深入地将，这个协调代理的知识通过一个训练阶段获得，该阶段从包含知识的 FDT 集中习得。协调代理使用包含在 FDT 的知识和一个 Takagi-Sugeno-Kang （TSK）模糊规则来评估每个代理生成的旋律，并“智能”地在这些旋律间跨种群移动，以提高每个作曲代理的能力。接下来的子节将正式介绍所提出的框架的不同子模块。</w:t>
      </w:r>
    </w:p>
    <w:p>
      <w:pPr>
        <w:pStyle w:val="4"/>
      </w:pPr>
      <w:r>
        <w:rPr>
          <w:rFonts w:hint="eastAsia"/>
        </w:rPr>
        <w:t>A. 学习协调代理知识</w:t>
      </w:r>
    </w:p>
    <w:p>
      <w:pPr>
        <w:ind w:firstLine="420"/>
      </w:pPr>
      <w:r>
        <w:rPr>
          <w:rFonts w:hint="eastAsia"/>
        </w:rPr>
        <w:t>为了获得定义了协调代理知识的 FDT，有必要应用一个知识提取过程，来提取并总结有关作曲代理性能的有用信息。特别地，协调器使用两个 FDT 的集合，分别称为参数树和权重树。前者包含了对于每个可能的低音线，由于作曲代理实现的元启发式的最便捷的参数值描述。而后者包含的知识，是权值的形式，根据每个元启发式的预期性能排序。这些权值可被控制旋律交换的一组规则所使用，将在后面进行说明。知识提取过程被分成两个不同的阶段：数据准备和数据挖掘，将在后面进行解释。</w:t>
      </w:r>
    </w:p>
    <w:p>
      <w:pPr>
        <w:ind w:firstLine="420"/>
      </w:pPr>
      <w:r>
        <w:rPr>
          <w:rFonts w:hint="eastAsia"/>
        </w:rPr>
        <w:t>注意，这个配置过程只在框架被用于作曲之前进行一次。之后，FDT 将独立于被和谐的低音线来配置框架。</w:t>
      </w:r>
    </w:p>
    <w:p>
      <w:pPr>
        <w:ind w:firstLine="315" w:firstLineChars="150"/>
      </w:pPr>
      <w:r>
        <w:rPr>
          <w:rFonts w:hint="eastAsia"/>
          <w:i/>
        </w:rPr>
        <w:t>1</w:t>
      </w:r>
      <w:r>
        <w:rPr>
          <w:i/>
        </w:rPr>
        <w:t>)</w:t>
      </w:r>
      <w:r>
        <w:rPr>
          <w:rFonts w:hint="eastAsia"/>
        </w:rPr>
        <w:t>数据准备：获得有效的 FDT 的第一步是创建一个数据库集，这些数据库包含了作曲代理实现的元启发式的性能的具有高度代表性的数据。这些数据库必须使用不同的数字低音问题的实例来准确描述元启发式的性能。要获得这些数据库，我们采用一种获得四音旋律的过程，其使用具有不同参数配置的不同元启发式。</w:t>
      </w:r>
    </w:p>
    <w:p>
      <w:pPr>
        <w:ind w:firstLine="420"/>
      </w:pPr>
      <w:r>
        <w:rPr>
          <w:rFonts w:hint="eastAsia"/>
        </w:rPr>
        <w:t>特别地，我们选择了 30 个数字低音问题的代表性实例，并使用四个元启发式来求解。这些实例从巴赫合奏曲</w:t>
      </w:r>
      <w:r>
        <w:rPr>
          <w:rFonts w:hint="eastAsia"/>
          <w:vertAlign w:val="superscript"/>
        </w:rPr>
        <w:t>4</w:t>
      </w:r>
      <w:r>
        <w:rPr>
          <w:rFonts w:hint="eastAsia"/>
        </w:rPr>
        <w:t xml:space="preserve"> 中获得，代表了不可达的和谐例子。每个元启发式采用多</w:t>
      </w:r>
      <w:bookmarkStart w:id="1" w:name="_GoBack"/>
      <w:bookmarkEnd w:id="1"/>
      <w:r>
        <w:rPr>
          <w:rFonts w:hint="eastAsia"/>
        </w:rPr>
        <w:t>个参数值的配置，根据参数个数、可能的值、行为的先验知识不同而有所不同。256，81，216，72，36 和 130 个不同的参数组合分别应用于 GA，PSO，ACO，SA，TS 和 VNS。另外，每条低音线被每个参数组合和谐十次。对于每个元启发式，我们记录一个原始数据库，这个数据库包含了获得的旋律的重要信息。特别地，每行包含以下信息：</w:t>
      </w:r>
    </w:p>
    <w:p>
      <w:pPr>
        <w:pStyle w:val="17"/>
        <w:numPr>
          <w:ilvl w:val="0"/>
          <w:numId w:val="1"/>
        </w:numPr>
        <w:ind w:firstLineChars="0"/>
      </w:pPr>
      <w:r>
        <w:rPr>
          <w:rFonts w:hint="eastAsia"/>
        </w:rPr>
        <w:t>生辰个低音线描述，如下：</w:t>
      </w:r>
    </w:p>
    <w:p>
      <w:pPr>
        <w:pStyle w:val="17"/>
        <w:numPr>
          <w:ilvl w:val="0"/>
          <w:numId w:val="2"/>
        </w:numPr>
        <w:ind w:firstLineChars="0"/>
      </w:pPr>
      <w:r>
        <w:rPr>
          <w:rFonts w:hint="eastAsia"/>
        </w:rPr>
        <w:t>音乐节奏，或每分钟的节拍数，表明每个音乐片段的速度或步调。</w:t>
      </w:r>
    </w:p>
    <w:p>
      <w:pPr>
        <w:pStyle w:val="17"/>
        <w:numPr>
          <w:ilvl w:val="0"/>
          <w:numId w:val="2"/>
        </w:numPr>
        <w:ind w:firstLineChars="0"/>
      </w:pPr>
      <w:r>
        <w:rPr>
          <w:rFonts w:hint="eastAsia"/>
        </w:rPr>
        <w:t>由时间拍号指明的节拍数。比如说 3 4 中的 3。</w:t>
      </w:r>
    </w:p>
    <w:p>
      <w:pPr>
        <w:pStyle w:val="17"/>
        <w:numPr>
          <w:ilvl w:val="0"/>
          <w:numId w:val="2"/>
        </w:numPr>
        <w:ind w:firstLineChars="0"/>
      </w:pPr>
      <w:r>
        <w:rPr>
          <w:rFonts w:hint="eastAsia"/>
        </w:rPr>
        <w:t xml:space="preserve">由时间拍号指明的节拍长度。比如 3 4 中的 4。 </w:t>
      </w:r>
    </w:p>
    <w:p>
      <w:pPr>
        <w:pStyle w:val="17"/>
        <w:numPr>
          <w:ilvl w:val="0"/>
          <w:numId w:val="2"/>
        </w:numPr>
        <w:ind w:firstLineChars="0"/>
      </w:pPr>
      <w:r>
        <w:rPr>
          <w:rFonts w:hint="eastAsia"/>
        </w:rPr>
        <w:t xml:space="preserve">作曲的关键拍号。比如 C 大调或 A 小调。 </w:t>
      </w:r>
    </w:p>
    <w:p>
      <w:pPr>
        <w:pStyle w:val="17"/>
        <w:numPr>
          <w:ilvl w:val="0"/>
          <w:numId w:val="2"/>
        </w:numPr>
        <w:ind w:firstLineChars="0"/>
      </w:pPr>
      <w:r>
        <w:rPr>
          <w:rFonts w:hint="eastAsia"/>
        </w:rPr>
        <w:t xml:space="preserve">HN 的数量。 </w:t>
      </w:r>
    </w:p>
    <w:p>
      <w:pPr>
        <w:pStyle w:val="17"/>
        <w:numPr>
          <w:ilvl w:val="0"/>
          <w:numId w:val="2"/>
        </w:numPr>
        <w:ind w:firstLineChars="0"/>
      </w:pPr>
      <w:r>
        <w:rPr>
          <w:rFonts w:hint="eastAsia"/>
        </w:rPr>
        <w:t>生成音乐片段的方法数。</w:t>
      </w:r>
    </w:p>
    <w:p>
      <w:pPr>
        <w:pStyle w:val="17"/>
        <w:numPr>
          <w:ilvl w:val="0"/>
          <w:numId w:val="1"/>
        </w:numPr>
        <w:ind w:firstLineChars="0"/>
      </w:pPr>
      <w:r>
        <w:rPr>
          <w:rFonts w:hint="eastAsia"/>
        </w:rPr>
        <w:t>用于和谐的参数值。</w:t>
      </w:r>
    </w:p>
    <w:p>
      <w:pPr>
        <w:pStyle w:val="17"/>
        <w:numPr>
          <w:ilvl w:val="0"/>
          <w:numId w:val="1"/>
        </w:numPr>
        <w:ind w:firstLineChars="0"/>
      </w:pPr>
      <w:r>
        <w:rPr>
          <w:rFonts w:hint="eastAsia"/>
        </w:rPr>
        <w:t>旋律的最终适应度值。</w:t>
      </w:r>
    </w:p>
    <w:p>
      <w:pPr>
        <w:ind w:firstLine="420"/>
        <w:sectPr>
          <w:type w:val="continuous"/>
          <w:pgSz w:w="11906" w:h="16838"/>
          <w:pgMar w:top="1440" w:right="1800" w:bottom="1440" w:left="1800" w:header="851" w:footer="992" w:gutter="0"/>
          <w:cols w:space="425" w:num="2"/>
          <w:docGrid w:type="lines" w:linePitch="312" w:charSpace="0"/>
        </w:sectPr>
      </w:pPr>
    </w:p>
    <w:p>
      <w:pPr>
        <w:pStyle w:val="5"/>
        <w:keepNext/>
        <w:ind w:firstLine="400"/>
      </w:pPr>
      <w:r>
        <w:t xml:space="preserve">表 </w:t>
      </w:r>
      <w:r>
        <w:fldChar w:fldCharType="begin"/>
      </w:r>
      <w:r>
        <w:instrText xml:space="preserve"> SEQ 表 \* ARABIC </w:instrText>
      </w:r>
      <w:r>
        <w:fldChar w:fldCharType="separate"/>
      </w:r>
      <w:r>
        <w:t>5</w:t>
      </w:r>
      <w:r>
        <w:fldChar w:fldCharType="end"/>
      </w:r>
    </w:p>
    <w:p>
      <w:pPr>
        <w:ind w:firstLine="420"/>
      </w:pPr>
      <w:r>
        <w:drawing>
          <wp:inline distT="0" distB="0" distL="0" distR="0">
            <wp:extent cx="5228590" cy="28809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30444" cy="2882223"/>
                    </a:xfrm>
                    <a:prstGeom prst="rect">
                      <a:avLst/>
                    </a:prstGeom>
                  </pic:spPr>
                </pic:pic>
              </a:graphicData>
            </a:graphic>
          </wp:inline>
        </w:drawing>
      </w:r>
    </w:p>
    <w:p>
      <w:pPr>
        <w:ind w:firstLine="420"/>
        <w:sectPr>
          <w:type w:val="continuous"/>
          <w:pgSz w:w="11906" w:h="16838"/>
          <w:pgMar w:top="1440" w:right="1800" w:bottom="1440" w:left="1800" w:header="851" w:footer="992" w:gutter="0"/>
          <w:cols w:space="425" w:num="1"/>
          <w:docGrid w:type="lines" w:linePitch="312" w:charSpace="0"/>
        </w:sectPr>
      </w:pPr>
    </w:p>
    <w:p>
      <w:pPr>
        <w:ind w:firstLine="420"/>
      </w:pPr>
      <w:r>
        <w:rPr>
          <w:rFonts w:hint="eastAsia"/>
        </w:rPr>
        <w:t>表 6 展示了一个 GA 相关的原始数据库例子。</w:t>
      </w:r>
    </w:p>
    <w:p>
      <w:pPr>
        <w:ind w:firstLine="420"/>
      </w:pPr>
      <w:r>
        <w:rPr>
          <w:rFonts w:hint="eastAsia"/>
        </w:rPr>
        <w:t>然而，原始数据库还不能被 FDT 学习算法所使用。因为，它们存储了过多信息，并不能产生预期的输出（权值与参数）。要减小原始数据库的大小，将其处理成学习算法可用的，我们采用一个精炼过程，以产生以下精炼的数据库。</w:t>
      </w:r>
    </w:p>
    <w:p>
      <w:pPr>
        <w:pStyle w:val="17"/>
        <w:numPr>
          <w:ilvl w:val="0"/>
          <w:numId w:val="3"/>
        </w:numPr>
        <w:ind w:firstLineChars="0"/>
      </w:pPr>
      <w:r>
        <w:rPr>
          <w:rFonts w:hint="eastAsia"/>
          <w:i/>
        </w:rPr>
        <w:t>进化权值数据库：</w:t>
      </w:r>
      <w:r>
        <w:rPr>
          <w:rFonts w:hint="eastAsia"/>
        </w:rPr>
        <w:t>该数据库用于训练 FDT，来产生进化相的权值。</w:t>
      </w:r>
    </w:p>
    <w:p>
      <w:pPr>
        <w:pStyle w:val="17"/>
        <w:numPr>
          <w:ilvl w:val="0"/>
          <w:numId w:val="3"/>
        </w:numPr>
        <w:ind w:firstLineChars="0"/>
      </w:pPr>
      <w:r>
        <w:rPr>
          <w:rFonts w:hint="eastAsia"/>
          <w:i/>
        </w:rPr>
        <w:t>局部权值数据库：</w:t>
      </w:r>
      <w:r>
        <w:rPr>
          <w:rFonts w:hint="eastAsia"/>
        </w:rPr>
        <w:t>该数据库用于训练 FDT，来产生局部相的权值。</w:t>
      </w:r>
    </w:p>
    <w:p>
      <w:pPr>
        <w:pStyle w:val="17"/>
        <w:numPr>
          <w:ilvl w:val="0"/>
          <w:numId w:val="3"/>
        </w:numPr>
        <w:ind w:firstLineChars="0"/>
      </w:pPr>
      <w:r>
        <w:rPr>
          <w:rFonts w:hint="eastAsia"/>
          <w:i/>
        </w:rPr>
        <w:t>参数数据库集：</w:t>
      </w:r>
      <w:r>
        <w:rPr>
          <w:rFonts w:hint="eastAsia"/>
        </w:rPr>
        <w:t>每个不同元启发式的参数对应有一个数据库。比如说，如表 6 所示的，GA 需要 4 个参数数据库，每个数据库对应一个参数，其余的元启发式也需要类似的数据库。这些数据库被用于学习树，来为每个实例找到最合适的参数。</w:t>
      </w:r>
    </w:p>
    <w:p>
      <w:pPr>
        <w:ind w:firstLine="420"/>
      </w:pPr>
      <w:r>
        <w:rPr>
          <w:rFonts w:hint="eastAsia"/>
        </w:rPr>
        <w:t>按以下步骤创建精炼数据库。</w:t>
      </w:r>
    </w:p>
    <w:p>
      <w:pPr>
        <w:pStyle w:val="17"/>
        <w:numPr>
          <w:ilvl w:val="0"/>
          <w:numId w:val="4"/>
        </w:numPr>
        <w:ind w:firstLineChars="0"/>
      </w:pPr>
      <w:r>
        <w:rPr>
          <w:rFonts w:hint="eastAsia"/>
        </w:rPr>
        <w:t>首先，我们需要计算每个元启发式获得的每个参数组合与每个低音线获得的平均适应度值。如表 6 所示的，对于巴赫合唱曲 BWV 26</w:t>
      </w:r>
      <w:r>
        <w:rPr>
          <w:rFonts w:hint="eastAsia"/>
          <w:vertAlign w:val="superscript"/>
        </w:rPr>
        <w:t>5</w:t>
      </w:r>
      <w:r>
        <w:rPr>
          <w:rFonts w:hint="eastAsia"/>
        </w:rPr>
        <w:t>，我们使用参数组合 1 （使用竞争选择，突变率为 0.01，交叉概率为 0.5，个体数为 20）来计算 GA 得到的平均适应度值。然后，我们使用参数组合 2，3 等来计算相同的平均适应度。我们对巴赫合唱曲 70 和其他的，重复此过程。对 PSO，SA 和 TS 进行类似的处理。</w:t>
      </w:r>
    </w:p>
    <w:p>
      <w:pPr>
        <w:pStyle w:val="17"/>
        <w:numPr>
          <w:ilvl w:val="0"/>
          <w:numId w:val="4"/>
        </w:numPr>
        <w:ind w:firstLineChars="0"/>
      </w:pPr>
      <w:r>
        <w:rPr>
          <w:rFonts w:hint="eastAsia"/>
        </w:rPr>
        <w:t>之后，对于每个低音线和元启发式，我们隔离最佳的参数组合，因为该组合已经获得了最高的适应度值。调用该组合，其中 a 表示实例，i 表示元启发式。与  相关的适应度值为 。</w:t>
      </w:r>
    </w:p>
    <w:p>
      <w:pPr>
        <w:pStyle w:val="17"/>
        <w:numPr>
          <w:ilvl w:val="0"/>
          <w:numId w:val="4"/>
        </w:numPr>
        <w:ind w:firstLineChars="0"/>
      </w:pPr>
      <w:r>
        <w:rPr>
          <w:rFonts w:hint="eastAsia"/>
        </w:rPr>
        <w:t>为每个元启发式和其每个参数，创建一个参数数据库，每个低音线用一行一个记录表示。每一行，包含了该低音线的描述，其参数值，以 。表示。</w:t>
      </w:r>
    </w:p>
    <w:p>
      <w:pPr>
        <w:pStyle w:val="17"/>
        <w:numPr>
          <w:ilvl w:val="0"/>
          <w:numId w:val="4"/>
        </w:numPr>
        <w:ind w:firstLineChars="0"/>
      </w:pPr>
      <w:r>
        <w:rPr>
          <w:rFonts w:hint="eastAsia"/>
        </w:rPr>
        <w:t>为每个相（进化和局部搜索），生成一个数据库，每个实例一行。每一行，包含了实例的描述和权值，权值的计算公式如下：</w:t>
      </w:r>
    </w:p>
    <w:p>
      <w:pPr>
        <w:ind w:firstLine="420"/>
      </w:pPr>
    </w:p>
    <w:p>
      <w:pPr>
        <w:ind w:firstLine="420"/>
      </w:pPr>
      <w:r>
        <w:rPr>
          <w:rFonts w:hint="eastAsia"/>
        </w:rPr>
        <w:t>其中，M 表示在该相中涉及的作曲代理集。</w:t>
      </w:r>
    </w:p>
    <w:p>
      <w:pPr>
        <w:ind w:firstLine="420"/>
        <w:sectPr>
          <w:type w:val="continuous"/>
          <w:pgSz w:w="11906" w:h="16838"/>
          <w:pgMar w:top="1440" w:right="1800" w:bottom="1440" w:left="1800" w:header="851" w:footer="992" w:gutter="0"/>
          <w:cols w:space="425" w:num="2"/>
          <w:docGrid w:type="lines" w:linePitch="312" w:charSpace="0"/>
        </w:sectPr>
      </w:pPr>
    </w:p>
    <w:p>
      <w:pPr>
        <w:pStyle w:val="5"/>
        <w:keepNext/>
        <w:ind w:firstLine="400"/>
      </w:pPr>
      <w:r>
        <w:t xml:space="preserve">表 </w:t>
      </w:r>
      <w:r>
        <w:fldChar w:fldCharType="begin"/>
      </w:r>
      <w:r>
        <w:instrText xml:space="preserve"> SEQ 表 \* ARABIC </w:instrText>
      </w:r>
      <w:r>
        <w:fldChar w:fldCharType="separate"/>
      </w:r>
      <w:r>
        <w:t>6</w:t>
      </w:r>
      <w:r>
        <w:fldChar w:fldCharType="end"/>
      </w:r>
    </w:p>
    <w:p>
      <w:pPr>
        <w:ind w:firstLine="420"/>
      </w:pPr>
      <w:r>
        <w:drawing>
          <wp:inline distT="0" distB="0" distL="0" distR="0">
            <wp:extent cx="5274310" cy="26784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4310" cy="2678430"/>
                    </a:xfrm>
                    <a:prstGeom prst="rect">
                      <a:avLst/>
                    </a:prstGeom>
                  </pic:spPr>
                </pic:pic>
              </a:graphicData>
            </a:graphic>
          </wp:inline>
        </w:drawing>
      </w:r>
    </w:p>
    <w:p>
      <w:pPr>
        <w:ind w:firstLine="420"/>
        <w:sectPr>
          <w:type w:val="continuous"/>
          <w:pgSz w:w="11906" w:h="16838"/>
          <w:pgMar w:top="1440" w:right="1800" w:bottom="1440" w:left="1800" w:header="851" w:footer="992" w:gutter="0"/>
          <w:cols w:space="425" w:num="1"/>
          <w:docGrid w:type="lines" w:linePitch="312" w:charSpace="0"/>
        </w:sectPr>
      </w:pPr>
    </w:p>
    <w:p>
      <w:pPr>
        <w:ind w:firstLine="420"/>
      </w:pPr>
      <w:r>
        <w:rPr>
          <w:rFonts w:hint="eastAsia"/>
        </w:rPr>
        <w:t>精炼过程如表 7 所示，其是一个两部精炼的例子。</w:t>
      </w:r>
    </w:p>
    <w:p>
      <w:pPr>
        <w:ind w:firstLine="420"/>
      </w:pPr>
      <w:r>
        <w:rPr>
          <w:i/>
        </w:rPr>
        <w:t>2)</w:t>
      </w:r>
      <w:r>
        <w:rPr>
          <w:rFonts w:hint="eastAsia"/>
          <w:i/>
        </w:rPr>
        <w:t>数据挖掘：</w:t>
      </w:r>
      <w:r>
        <w:rPr>
          <w:rFonts w:hint="eastAsia"/>
        </w:rPr>
        <w:t xml:space="preserve">一旦通过精炼数据库获得了性能信息，我们就能在数据挖掘阶段提取知识模型。这些模型包括，两个 FDT （进化和局部阶段），与 FDT 相等数量的不同元启发式的参数。这些 FDT 中，每一个都是通过对前一步创建的数据库应用 FDT 学习算法直接获得的。选择 FDT，是因为它们之前在类似的问题中取得过成功 </w:t>
      </w:r>
      <w:r>
        <w:rPr>
          <w:rFonts w:hint="eastAsia"/>
          <w:vertAlign w:val="superscript"/>
        </w:rPr>
        <w:t>[37] - [39]</w:t>
      </w:r>
      <w:r>
        <w:rPr>
          <w:rFonts w:hint="eastAsia"/>
        </w:rPr>
        <w:t>，并且它们的可解释性也有利于对所获得的模型的理解。</w:t>
      </w:r>
    </w:p>
    <w:p>
      <w:pPr>
        <w:pStyle w:val="4"/>
      </w:pPr>
      <w:r>
        <w:rPr>
          <w:rFonts w:hint="eastAsia"/>
        </w:rPr>
        <w:t>B. 协作与协调控制</w:t>
      </w:r>
    </w:p>
    <w:p>
      <w:pPr>
        <w:ind w:firstLine="420"/>
      </w:pPr>
      <w:r>
        <w:rPr>
          <w:rFonts w:hint="eastAsia"/>
        </w:rPr>
        <w:t>在习得了定义协调代理知识的 FDT 之后，就能够控制作曲代理的协作与协调了。然而，协作与协调控制并不重要，因为旋律的不受限制交换可能会导致不完全满足品质标准的旋律出现（如经常遇到的传统优化问题</w:t>
      </w:r>
      <w:r>
        <w:rPr>
          <w:rFonts w:hint="eastAsia"/>
          <w:vertAlign w:val="superscript"/>
        </w:rPr>
        <w:t xml:space="preserve"> [41]</w:t>
      </w:r>
      <w:r>
        <w:rPr>
          <w:rFonts w:hint="eastAsia"/>
        </w:rPr>
        <w:t>）。该问题可通过监测旋律的交换，防止不期望的交换发生来避免。要做到这一点，协调代理使用一组模糊规则，应用 FDT 来控制交换。</w:t>
      </w:r>
    </w:p>
    <w:p>
      <w:pPr>
        <w:ind w:firstLine="420"/>
      </w:pPr>
      <w:r>
        <w:rPr>
          <w:rFonts w:hint="eastAsia"/>
        </w:rPr>
        <w:t>特别地，FDT 分析带标准的低音线，并评估得到一个权值，该权值表示作曲代理 i 实现的元启发式的期望性能，且 表示作曲代理 i 比 j 能得到更好的结果。</w:t>
      </w:r>
    </w:p>
    <w:p>
      <w:pPr>
        <w:ind w:firstLine="420"/>
      </w:pPr>
      <w:r>
        <w:rPr>
          <w:rFonts w:hint="eastAsia"/>
        </w:rPr>
        <w:t>另外，每一步中（进化和局部），协调代理使用一组 TSK 模糊规则来决定何时有必要在两个或多个作曲代理间交换旋律。模糊规则，用权值表示，反映的结构如下：</w:t>
      </w:r>
    </w:p>
    <w:p>
      <w:pPr>
        <w:ind w:firstLine="422"/>
      </w:pPr>
      <w:r>
        <w:rPr>
          <w:b/>
        </w:rPr>
        <w:t>if</w:t>
      </w:r>
      <w:r>
        <w:t xml:space="preserve"> (ω</w:t>
      </w:r>
      <w:r>
        <w:rPr>
          <w:vertAlign w:val="subscript"/>
        </w:rPr>
        <w:t>1</w:t>
      </w:r>
      <w:r>
        <w:t xml:space="preserve"> · d</w:t>
      </w:r>
      <w:r>
        <w:rPr>
          <w:vertAlign w:val="subscript"/>
        </w:rPr>
        <w:t>1</w:t>
      </w:r>
      <w:r>
        <w:t>) is enough</w:t>
      </w:r>
    </w:p>
    <w:p>
      <w:pPr>
        <w:ind w:firstLine="422"/>
      </w:pPr>
      <w:r>
        <w:rPr>
          <w:b/>
        </w:rPr>
        <w:t>then</w:t>
      </w:r>
      <w:r>
        <w:t xml:space="preserve"> poor_musical_quality</w:t>
      </w:r>
      <w:r>
        <w:rPr>
          <w:vertAlign w:val="subscript"/>
        </w:rPr>
        <w:t>1</w:t>
      </w:r>
      <w:r>
        <w:t xml:space="preserve"> = 1</w:t>
      </w:r>
    </w:p>
    <w:p>
      <w:pPr>
        <w:ind w:firstLine="420"/>
      </w:pPr>
      <w:r>
        <w:t>...</w:t>
      </w:r>
    </w:p>
    <w:p>
      <w:pPr>
        <w:ind w:firstLine="422"/>
      </w:pPr>
      <w:r>
        <w:rPr>
          <w:b/>
        </w:rPr>
        <w:t>if</w:t>
      </w:r>
      <w:r>
        <w:t xml:space="preserve"> (ω</w:t>
      </w:r>
      <w:r>
        <w:rPr>
          <w:vertAlign w:val="subscript"/>
        </w:rPr>
        <w:t>h−1</w:t>
      </w:r>
      <w:r>
        <w:t xml:space="preserve"> · d</w:t>
      </w:r>
      <w:r>
        <w:rPr>
          <w:vertAlign w:val="subscript"/>
        </w:rPr>
        <w:t>h−1</w:t>
      </w:r>
      <w:r>
        <w:t>) is enough</w:t>
      </w:r>
    </w:p>
    <w:p>
      <w:pPr>
        <w:ind w:firstLine="422"/>
      </w:pPr>
      <w:r>
        <w:rPr>
          <w:b/>
        </w:rPr>
        <w:t>then</w:t>
      </w:r>
      <w:r>
        <w:t xml:space="preserve"> poor_musical_quality</w:t>
      </w:r>
      <w:r>
        <w:rPr>
          <w:vertAlign w:val="subscript"/>
        </w:rPr>
        <w:t>h−1</w:t>
      </w:r>
      <w:r>
        <w:t xml:space="preserve"> = 1</w:t>
      </w:r>
    </w:p>
    <w:p>
      <w:pPr>
        <w:ind w:firstLine="422"/>
      </w:pPr>
      <w:r>
        <w:rPr>
          <w:b/>
        </w:rPr>
        <w:t>if</w:t>
      </w:r>
      <w:r>
        <w:t xml:space="preserve"> (ω</w:t>
      </w:r>
      <w:r>
        <w:rPr>
          <w:vertAlign w:val="subscript"/>
        </w:rPr>
        <w:t>h+1</w:t>
      </w:r>
      <w:r>
        <w:t xml:space="preserve"> · d</w:t>
      </w:r>
      <w:r>
        <w:rPr>
          <w:vertAlign w:val="subscript"/>
        </w:rPr>
        <w:t>h+1</w:t>
      </w:r>
      <w:r>
        <w:t>) is enough</w:t>
      </w:r>
    </w:p>
    <w:p>
      <w:pPr>
        <w:ind w:firstLine="422"/>
      </w:pPr>
      <w:r>
        <w:rPr>
          <w:b/>
        </w:rPr>
        <w:t>then</w:t>
      </w:r>
      <w:r>
        <w:t xml:space="preserve"> poor_musical_quality</w:t>
      </w:r>
      <w:r>
        <w:rPr>
          <w:vertAlign w:val="subscript"/>
        </w:rPr>
        <w:t>h+1</w:t>
      </w:r>
      <w:r>
        <w:t xml:space="preserve"> = 1</w:t>
      </w:r>
    </w:p>
    <w:p>
      <w:pPr>
        <w:ind w:firstLine="420"/>
      </w:pPr>
      <w:r>
        <w:t>...</w:t>
      </w:r>
    </w:p>
    <w:p>
      <w:pPr>
        <w:ind w:firstLine="422"/>
      </w:pPr>
      <w:r>
        <w:rPr>
          <w:b/>
        </w:rPr>
        <w:t>if</w:t>
      </w:r>
      <w:r>
        <w:t xml:space="preserve"> (ω</w:t>
      </w:r>
      <w:r>
        <w:rPr>
          <w:vertAlign w:val="subscript"/>
        </w:rPr>
        <w:t>n</w:t>
      </w:r>
      <w:r>
        <w:t xml:space="preserve"> · d</w:t>
      </w:r>
      <w:r>
        <w:rPr>
          <w:vertAlign w:val="subscript"/>
        </w:rPr>
        <w:t>n</w:t>
      </w:r>
      <w:r>
        <w:t>) is enough</w:t>
      </w:r>
    </w:p>
    <w:p>
      <w:pPr>
        <w:ind w:firstLine="422"/>
      </w:pPr>
      <w:r>
        <w:rPr>
          <w:b/>
        </w:rPr>
        <w:t>then</w:t>
      </w:r>
      <w:r>
        <w:t xml:space="preserve"> poor_musical_quality</w:t>
      </w:r>
      <w:r>
        <w:rPr>
          <w:vertAlign w:val="subscript"/>
        </w:rPr>
        <w:t>n</w:t>
      </w:r>
      <w:r>
        <w:t xml:space="preserve"> = 1</w:t>
      </w:r>
    </w:p>
    <w:p>
      <w:pPr>
        <w:spacing w:line="360" w:lineRule="auto"/>
        <w:ind w:firstLine="420"/>
      </w:pPr>
      <w:r>
        <w:rPr>
          <w:rFonts w:hint="eastAsia"/>
        </w:rPr>
        <w:t>其中，</w:t>
      </w:r>
    </w:p>
    <w:tbl>
      <w:tblPr>
        <w:tblStyle w:val="13"/>
        <w:tblW w:w="3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2"/>
        <w:gridCol w:w="1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2" w:type="dxa"/>
          </w:tcPr>
          <w:p>
            <w:pPr>
              <w:ind w:firstLine="0" w:firstLineChars="0"/>
            </w:pPr>
            <w:r>
              <w:t>n</w:t>
            </w:r>
          </w:p>
        </w:tc>
        <w:tc>
          <w:tcPr>
            <w:tcW w:w="1808" w:type="dxa"/>
          </w:tcPr>
          <w:p>
            <w:pPr>
              <w:ind w:firstLine="0" w:firstLineChars="0"/>
            </w:pPr>
            <w:r>
              <w:rPr>
                <w:rFonts w:hint="eastAsia"/>
              </w:rPr>
              <w:t>是参与给定步骤的作曲代理数；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2" w:type="dxa"/>
          </w:tcPr>
          <w:p>
            <w:pPr>
              <w:ind w:firstLine="0" w:firstLineChars="0"/>
            </w:pPr>
          </w:p>
        </w:tc>
        <w:tc>
          <w:tcPr>
            <w:tcW w:w="1808" w:type="dxa"/>
          </w:tcPr>
          <w:p>
            <w:pPr>
              <w:ind w:firstLine="0" w:firstLineChars="0"/>
            </w:pPr>
            <w:r>
              <w:rPr>
                <w:rFonts w:hint="eastAsia"/>
              </w:rPr>
              <w:t>是由规则评估的作曲代理；</w:t>
            </w:r>
            <w: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2" w:type="dxa"/>
          </w:tcPr>
          <w:p>
            <w:pPr>
              <w:ind w:firstLine="0" w:firstLineChars="0"/>
            </w:pPr>
            <w:r>
              <w:t>d</w:t>
            </w:r>
            <w:r>
              <w:rPr>
                <w:vertAlign w:val="subscript"/>
              </w:rPr>
              <w:t xml:space="preserve">i </w:t>
            </w:r>
            <w:r>
              <w:t>= (ξ(c</w:t>
            </w:r>
            <w:r>
              <w:rPr>
                <w:vertAlign w:val="subscript"/>
              </w:rPr>
              <w:t>i</w:t>
            </w:r>
            <w:r>
              <w:t>) − ξ(c</w:t>
            </w:r>
            <w:r>
              <w:rPr>
                <w:vertAlign w:val="subscript"/>
              </w:rPr>
              <w:t>h</w:t>
            </w:r>
            <w:r>
              <w:t>))/max (ξ(c</w:t>
            </w:r>
            <w:r>
              <w:rPr>
                <w:vertAlign w:val="subscript"/>
              </w:rPr>
              <w:t>i</w:t>
            </w:r>
            <w:r>
              <w:t>), ξ(c</w:t>
            </w:r>
            <w:r>
              <w:rPr>
                <w:vertAlign w:val="subscript"/>
              </w:rPr>
              <w:t>h</w:t>
            </w:r>
            <w:r>
              <w:t>))</w:t>
            </w:r>
          </w:p>
        </w:tc>
        <w:tc>
          <w:tcPr>
            <w:tcW w:w="1808" w:type="dxa"/>
          </w:tcPr>
          <w:p>
            <w:pPr>
              <w:ind w:firstLine="0" w:firstLineChars="0"/>
            </w:pPr>
            <w:r>
              <w:rPr>
                <w:rFonts w:hint="eastAsia"/>
              </w:rPr>
              <w:t>其中，ξ是第三节中定义的适应函数</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2" w:type="dxa"/>
          </w:tcPr>
          <w:p>
            <w:pPr>
              <w:ind w:firstLine="0" w:firstLineChars="0"/>
            </w:pPr>
          </w:p>
        </w:tc>
        <w:tc>
          <w:tcPr>
            <w:tcW w:w="1808" w:type="dxa"/>
          </w:tcPr>
          <w:p>
            <w:pPr>
              <w:ind w:firstLine="0" w:firstLineChars="0"/>
            </w:pPr>
            <w:r>
              <w:rPr>
                <w:rFonts w:hint="eastAsia"/>
              </w:rPr>
              <w:t>是</w:t>
            </w:r>
            <w:r>
              <w:t xml:space="preserve"> ci </w:t>
            </w:r>
            <w:r>
              <w:rPr>
                <w:rFonts w:hint="eastAsia"/>
              </w:rPr>
              <w:t>的权值；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2" w:type="dxa"/>
          </w:tcPr>
          <w:p>
            <w:pPr>
              <w:ind w:firstLine="0" w:firstLineChars="0"/>
            </w:pPr>
            <w:r>
              <w:t>enough</w:t>
            </w:r>
          </w:p>
        </w:tc>
        <w:tc>
          <w:tcPr>
            <w:tcW w:w="1808" w:type="dxa"/>
          </w:tcPr>
          <w:p>
            <w:pPr>
              <w:ind w:firstLine="0" w:firstLineChars="0"/>
            </w:pPr>
            <w:r>
              <w:rPr>
                <w:rFonts w:hint="eastAsia"/>
              </w:rPr>
              <w:t>具有由四连音定义的梯形隶属函数的模糊集</w:t>
            </w:r>
            <w:r>
              <w:t xml:space="preserve"> (a, b, c, d)</w:t>
            </w:r>
            <w:r>
              <w:rPr>
                <w:rFonts w:hint="eastAsia"/>
              </w:rPr>
              <w:t>，且其论域的范围是</w:t>
            </w:r>
            <w:r>
              <w:t xml:space="preserve"> [0</w:t>
            </w:r>
            <w:r>
              <w:rPr>
                <w:rFonts w:hint="eastAsia"/>
              </w:rPr>
              <w:t>，</w:t>
            </w:r>
            <w:r>
              <w:t>1]</w:t>
            </w:r>
            <w:r>
              <w:rPr>
                <w:rFonts w:hint="eastAsia"/>
              </w:rPr>
              <w:t>;</w:t>
            </w:r>
            <w: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2" w:type="dxa"/>
          </w:tcPr>
          <w:p>
            <w:pPr>
              <w:ind w:firstLine="0" w:firstLineChars="0"/>
            </w:pPr>
            <w:r>
              <w:t>poor_musical_quality</w:t>
            </w:r>
            <w:r>
              <w:rPr>
                <w:vertAlign w:val="subscript"/>
              </w:rPr>
              <w:t>i</w:t>
            </w:r>
          </w:p>
        </w:tc>
        <w:tc>
          <w:tcPr>
            <w:tcW w:w="1808" w:type="dxa"/>
          </w:tcPr>
          <w:p>
            <w:pPr>
              <w:ind w:firstLine="0" w:firstLineChars="0"/>
            </w:pPr>
            <w:r>
              <w:t xml:space="preserve">i = 1, ..., n </w:t>
            </w:r>
            <w:r>
              <w:rPr>
                <w:rFonts w:hint="eastAsia"/>
              </w:rPr>
              <w:t>是</w:t>
            </w:r>
            <w:r>
              <w:t xml:space="preserve"> TSK </w:t>
            </w:r>
            <w:r>
              <w:rPr>
                <w:rFonts w:hint="eastAsia"/>
              </w:rPr>
              <w:t>变量，取值范围是</w:t>
            </w:r>
            <w:r>
              <w:t xml:space="preserve"> [0, 1]</w:t>
            </w:r>
            <w:r>
              <w:rPr>
                <w:rFonts w:hint="eastAsia"/>
              </w:rPr>
              <w:t>。更大的值表示</w:t>
            </w:r>
            <w:r>
              <w:t xml:space="preserve"> ch </w:t>
            </w:r>
            <w:r>
              <w:rPr>
                <w:rFonts w:hint="eastAsia"/>
              </w:rPr>
              <w:t>可能从与</w:t>
            </w:r>
            <w:r>
              <w:t xml:space="preserve"> ci </w:t>
            </w:r>
            <w:r>
              <w:rPr>
                <w:rFonts w:hint="eastAsia"/>
              </w:rPr>
              <w:t>的旋律交换中获益的可能性更大。</w:t>
            </w:r>
          </w:p>
        </w:tc>
      </w:tr>
    </w:tbl>
    <w:p>
      <w:pPr>
        <w:ind w:firstLine="0" w:firstLineChars="0"/>
      </w:pPr>
    </w:p>
    <w:p>
      <w:pPr>
        <w:ind w:firstLine="420"/>
      </w:pPr>
      <w:r>
        <w:rPr>
          <w:rFonts w:hint="eastAsia"/>
        </w:rPr>
        <w:t>框架中包含的每个作曲代理都与一组模糊规则相关联，又关联到同一步骤的其余作者代理。比如说，一个进化阶段包含了 GA 和 PSO 的系统，我们需要一个实现 GA 的作曲代理与实现 PSO 的代理相关的规则，和另一个从 PSO 关联到 GA 的规则。这两个规则表示从其他作曲代理接收旋律的便捷性。</w:t>
      </w:r>
    </w:p>
    <w:p>
      <w:pPr>
        <w:ind w:firstLine="420"/>
      </w:pPr>
      <w:r>
        <w:rPr>
          <w:rFonts w:hint="eastAsia"/>
        </w:rPr>
        <w:t>然而，并非每个激活的规则都会触发旋律交换。只有那些 poor_musical_quality 高于给定阈值的规则才会交换旋律。当这种情况发生时，旋律的交换将以下述形式进行：</w:t>
      </w:r>
    </w:p>
    <w:p>
      <w:pPr>
        <w:pStyle w:val="17"/>
        <w:numPr>
          <w:ilvl w:val="0"/>
          <w:numId w:val="5"/>
        </w:numPr>
        <w:ind w:firstLineChars="0"/>
      </w:pPr>
      <w:r>
        <w:rPr>
          <w:rFonts w:hint="eastAsia"/>
        </w:rPr>
        <w:t>如果交换包含了使用进化技术的作曲代理，那么旋律种群的自己将会被替换为（触发规则的元启发式）的种群中最优的个体。此处权值与相关。</w:t>
      </w:r>
    </w:p>
    <w:p>
      <w:pPr>
        <w:pStyle w:val="17"/>
        <w:numPr>
          <w:ilvl w:val="0"/>
          <w:numId w:val="5"/>
        </w:numPr>
        <w:ind w:firstLineChars="0"/>
      </w:pPr>
      <w:r>
        <w:rPr>
          <w:rFonts w:hint="eastAsia"/>
        </w:rPr>
        <w:t>如果是局部搜索策略的作曲代理之间的交换，那么的当前旋律将被替换为“类似：于由获得的最优旋律的旋律。此处，“类似”代表变异算子的一个应用。</w:t>
      </w:r>
    </w:p>
    <w:p>
      <w:pPr>
        <w:pStyle w:val="3"/>
      </w:pPr>
      <w:r>
        <w:rPr>
          <w:rFonts w:hint="eastAsia"/>
        </w:rPr>
        <w:t>五、实验分析</w:t>
      </w:r>
    </w:p>
    <w:p>
      <w:pPr>
        <w:ind w:firstLine="420"/>
      </w:pPr>
      <w:r>
        <w:rPr>
          <w:rFonts w:hint="eastAsia"/>
        </w:rPr>
        <w:t>本节将研究提出的技术在解决数字低音问题上的有效性及其效果。我们已经进行了不同的测试以评估包含了新的元启发式，是怎样影响技术的性能的。特别地，实验以不采用自适应 MA 开始，其仅包含了一个基于种群的算法和局部搜索算法。之后，向其加入更多的元启发式，基于种群的和基于局部搜索的都有，直到获得一个包含了 6 个不同元启发式的协作策略为止。最后。将提出的策略与先前应用于求解数字低音问题的方法作比较</w:t>
      </w:r>
    </w:p>
    <w:p>
      <w:pPr>
        <w:pStyle w:val="4"/>
      </w:pPr>
      <w:r>
        <w:rPr>
          <w:rFonts w:hint="eastAsia"/>
        </w:rPr>
        <w:t>A. 实验配置</w:t>
      </w:r>
    </w:p>
    <w:p>
      <w:pPr>
        <w:ind w:firstLine="420"/>
      </w:pPr>
      <w:r>
        <w:rPr>
          <w:rFonts w:hint="eastAsia"/>
        </w:rPr>
        <w:t>实验就以下 13 个策略进行了比较。</w:t>
      </w:r>
    </w:p>
    <w:p>
      <w:pPr>
        <w:pStyle w:val="17"/>
        <w:numPr>
          <w:ilvl w:val="0"/>
          <w:numId w:val="6"/>
        </w:numPr>
        <w:ind w:firstLineChars="0"/>
      </w:pPr>
      <w:r>
        <w:rPr>
          <w:rFonts w:hint="eastAsia"/>
        </w:rPr>
        <w:t>一组包含了一个基于种群的策略和一个局部搜索策略的非自适应 MA，如下：</w:t>
      </w:r>
    </w:p>
    <w:p>
      <w:pPr>
        <w:pStyle w:val="17"/>
        <w:numPr>
          <w:ilvl w:val="0"/>
          <w:numId w:val="7"/>
        </w:numPr>
        <w:ind w:firstLineChars="0"/>
      </w:pPr>
      <w:r>
        <w:rPr>
          <w:rFonts w:hint="eastAsia"/>
        </w:rPr>
        <w:t>GA 和 SA（GA + SA）。</w:t>
      </w:r>
    </w:p>
    <w:p>
      <w:pPr>
        <w:pStyle w:val="17"/>
        <w:numPr>
          <w:ilvl w:val="0"/>
          <w:numId w:val="7"/>
        </w:numPr>
        <w:ind w:firstLineChars="0"/>
      </w:pPr>
      <w:r>
        <w:rPr>
          <w:rFonts w:hint="eastAsia"/>
        </w:rPr>
        <w:t xml:space="preserve">GA 和 TS（GA + TS）。 </w:t>
      </w:r>
    </w:p>
    <w:p>
      <w:pPr>
        <w:pStyle w:val="17"/>
        <w:numPr>
          <w:ilvl w:val="0"/>
          <w:numId w:val="7"/>
        </w:numPr>
        <w:ind w:firstLineChars="0"/>
      </w:pPr>
      <w:r>
        <w:rPr>
          <w:rFonts w:hint="eastAsia"/>
        </w:rPr>
        <w:t xml:space="preserve">PSO 和 SA（PSO + SA）。 </w:t>
      </w:r>
    </w:p>
    <w:p>
      <w:pPr>
        <w:pStyle w:val="17"/>
        <w:numPr>
          <w:ilvl w:val="0"/>
          <w:numId w:val="7"/>
        </w:numPr>
        <w:ind w:firstLineChars="0"/>
      </w:pPr>
      <w:r>
        <w:rPr>
          <w:rFonts w:hint="eastAsia"/>
        </w:rPr>
        <w:t>PSO 和 TS（PSO + TS）。</w:t>
      </w:r>
    </w:p>
    <w:p>
      <w:pPr>
        <w:pStyle w:val="17"/>
        <w:numPr>
          <w:ilvl w:val="0"/>
          <w:numId w:val="6"/>
        </w:numPr>
        <w:ind w:firstLineChars="0"/>
      </w:pPr>
      <w:r>
        <w:rPr>
          <w:rFonts w:hint="eastAsia"/>
        </w:rPr>
        <w:t>一组通过向先前的组合中添加新的元启发式的自适应 MA。这些策略被称为 MMC，为了区分不同的组合，我们用上标表示包含了基于种群的元启发式的策略，用下标表示应用了局部搜索元启发式的策略，如下：</w:t>
      </w:r>
    </w:p>
    <w:p>
      <w:pPr>
        <w:pStyle w:val="17"/>
        <w:numPr>
          <w:ilvl w:val="0"/>
          <w:numId w:val="8"/>
        </w:numPr>
        <w:ind w:firstLineChars="0"/>
      </w:pPr>
      <w:r>
        <w:rPr>
          <w:rFonts w:hint="eastAsia"/>
        </w:rPr>
        <w:t>GA，PSO 和 SA（MMC G&amp;P S）。</w:t>
      </w:r>
    </w:p>
    <w:p>
      <w:pPr>
        <w:pStyle w:val="17"/>
        <w:numPr>
          <w:ilvl w:val="0"/>
          <w:numId w:val="8"/>
        </w:numPr>
        <w:ind w:firstLineChars="0"/>
      </w:pPr>
      <w:r>
        <w:rPr>
          <w:rFonts w:hint="eastAsia"/>
        </w:rPr>
        <w:t xml:space="preserve">GA，PSO 和 TS（MMC G&amp;P T）。 </w:t>
      </w:r>
    </w:p>
    <w:p>
      <w:pPr>
        <w:pStyle w:val="17"/>
        <w:numPr>
          <w:ilvl w:val="0"/>
          <w:numId w:val="8"/>
        </w:numPr>
        <w:ind w:firstLineChars="0"/>
      </w:pPr>
      <w:r>
        <w:rPr>
          <w:rFonts w:hint="eastAsia"/>
        </w:rPr>
        <w:t xml:space="preserve">GA，SA 和 TS（MMC G S&amp;T）。 </w:t>
      </w:r>
    </w:p>
    <w:p>
      <w:pPr>
        <w:pStyle w:val="17"/>
        <w:numPr>
          <w:ilvl w:val="0"/>
          <w:numId w:val="8"/>
        </w:numPr>
        <w:ind w:firstLineChars="0"/>
      </w:pPr>
      <w:r>
        <w:rPr>
          <w:rFonts w:hint="eastAsia"/>
        </w:rPr>
        <w:t xml:space="preserve">PSO，SA 和 TS（MMC P S&amp;T）。 </w:t>
      </w:r>
    </w:p>
    <w:p>
      <w:pPr>
        <w:pStyle w:val="17"/>
        <w:numPr>
          <w:ilvl w:val="0"/>
          <w:numId w:val="8"/>
        </w:numPr>
        <w:ind w:firstLineChars="0"/>
      </w:pPr>
      <w:r>
        <w:rPr>
          <w:rFonts w:hint="eastAsia"/>
        </w:rPr>
        <w:t xml:space="preserve">GA，PSO，SA 和 SA（MMC G&amp;P S&amp;T）。 </w:t>
      </w:r>
    </w:p>
    <w:p>
      <w:pPr>
        <w:pStyle w:val="17"/>
        <w:numPr>
          <w:ilvl w:val="0"/>
          <w:numId w:val="8"/>
        </w:numPr>
        <w:ind w:firstLineChars="0"/>
      </w:pPr>
      <w:r>
        <w:rPr>
          <w:rFonts w:hint="eastAsia"/>
        </w:rPr>
        <w:t xml:space="preserve">GA，PSO，ACO，SA 和 TS（MMC G&amp;P&amp;A S&amp;T）。 </w:t>
      </w:r>
    </w:p>
    <w:p>
      <w:pPr>
        <w:pStyle w:val="17"/>
        <w:numPr>
          <w:ilvl w:val="0"/>
          <w:numId w:val="8"/>
        </w:numPr>
        <w:ind w:firstLineChars="0"/>
      </w:pPr>
      <w:r>
        <w:rPr>
          <w:rFonts w:hint="eastAsia"/>
        </w:rPr>
        <w:t xml:space="preserve">GA，PSO，SA，TS 和 VNS（MMC G&amp;P S&amp;T&amp;V）。 </w:t>
      </w:r>
    </w:p>
    <w:p>
      <w:pPr>
        <w:pStyle w:val="17"/>
        <w:numPr>
          <w:ilvl w:val="0"/>
          <w:numId w:val="8"/>
        </w:numPr>
        <w:ind w:firstLineChars="0"/>
      </w:pPr>
      <w:r>
        <w:rPr>
          <w:rFonts w:hint="eastAsia"/>
        </w:rPr>
        <w:t>GA，PSO，ACO，SA，TS 和 VNS（MMC G&amp;P&amp;A S&amp;T&amp;V）。</w:t>
      </w:r>
    </w:p>
    <w:p>
      <w:pPr>
        <w:pStyle w:val="17"/>
        <w:numPr>
          <w:ilvl w:val="0"/>
          <w:numId w:val="6"/>
        </w:numPr>
        <w:ind w:firstLineChars="0"/>
      </w:pPr>
      <w:r>
        <w:rPr>
          <w:rFonts w:hint="eastAsia"/>
        </w:rPr>
        <w:t xml:space="preserve">进化音乐作曲（EMC），是由 De Prisco 和 Zaccagnino </w:t>
      </w:r>
      <w:r>
        <w:rPr>
          <w:rFonts w:hint="eastAsia"/>
          <w:vertAlign w:val="superscript"/>
        </w:rPr>
        <w:t>[45]</w:t>
      </w:r>
      <w:r>
        <w:rPr>
          <w:rFonts w:hint="eastAsia"/>
        </w:rPr>
        <w:t xml:space="preserve"> 的进化算法。据我们所知，这是唯一的一篇论文，尝试去解决类似于本文定义的数字低音问题的问题。</w:t>
      </w:r>
    </w:p>
    <w:p>
      <w:pPr>
        <w:ind w:firstLine="420"/>
      </w:pPr>
      <w:r>
        <w:rPr>
          <w:rFonts w:hint="eastAsia"/>
        </w:rPr>
        <w:t>每个策略都有 50000 个解评估，以解决实验中包含的每个实例。不使用基于时间的停止条件，我们使用解评估的数量来获得一个与其他技术做更公平的比较。使用这个方法，我们能够不依赖编程语言，或运行测试的计算机体系结构，或者程序员优化代码的能力，对结果进行比较</w:t>
      </w:r>
    </w:p>
    <w:p>
      <w:pPr>
        <w:ind w:firstLine="420"/>
      </w:pPr>
      <w:r>
        <w:rPr>
          <w:rFonts w:hint="eastAsia"/>
        </w:rPr>
        <w:t>然而，时间被视为考量性能的一个重要因素，并且，应当注意到，协调器的开销是可忽略的，协作策略的执行时间总是小于目标函数的相同数量的评估中较慢的单个元启发式的执行时间。</w:t>
      </w:r>
    </w:p>
    <w:p>
      <w:pPr>
        <w:ind w:firstLine="420"/>
      </w:pPr>
      <w:r>
        <w:rPr>
          <w:rFonts w:hint="eastAsia"/>
        </w:rPr>
        <w:t>关于执行模式，如果时间很重要，协作策略可以采用并行的方式，或者在只有单处理器的计算机上模拟并行。以下是本文采取的策略，过程很简单。我们构造了一组解算器数组，并循环地运行它们。该实现方案采用了一个异步通信模式，过程如下：解算器在目标函数的一定数量的评估期间执行。评估的数量是 [5000，5500] 间的一个随机数字，并且一个周期时间之后，更新信息。重复以上步骤，直至目标函数评价的终止条件。</w:t>
      </w:r>
    </w:p>
    <w:p>
      <w:pPr>
        <w:ind w:firstLine="420"/>
      </w:pPr>
      <w:r>
        <w:rPr>
          <w:rFonts w:hint="eastAsia"/>
        </w:rPr>
        <w:t>实验使用的在一组实例是从巴赫合唱曲中选择的，还包括了：BWV 4.8，BWV 8.6，BWV 12.7，BWV 16.6，BWV 17.7，BWV 19.7，BWV 25.6，BWV 28.6，BWV 31.9，BWV 33.6，BWV 39.7，BWV 40.6，BWV 43.11，BWV 47.5，BWV 55.5，BWV 62.6，BWV 67.7，BWV 77.6，BWV 81.7，BWV 88.7。</w:t>
      </w:r>
    </w:p>
    <w:p>
      <w:pPr>
        <w:ind w:firstLine="420"/>
        <w:sectPr>
          <w:type w:val="continuous"/>
          <w:pgSz w:w="11906" w:h="16838"/>
          <w:pgMar w:top="1440" w:right="1800" w:bottom="1440" w:left="1800" w:header="851" w:footer="992" w:gutter="0"/>
          <w:cols w:space="425" w:num="2"/>
          <w:docGrid w:type="lines" w:linePitch="312" w:charSpace="0"/>
        </w:sectPr>
      </w:pPr>
    </w:p>
    <w:p>
      <w:pPr>
        <w:pStyle w:val="5"/>
        <w:keepNext/>
        <w:ind w:firstLine="400"/>
      </w:pPr>
      <w:r>
        <w:t xml:space="preserve">表 </w:t>
      </w:r>
      <w:r>
        <w:fldChar w:fldCharType="begin"/>
      </w:r>
      <w:r>
        <w:instrText xml:space="preserve"> SEQ 表 \* ARABIC </w:instrText>
      </w:r>
      <w:r>
        <w:fldChar w:fldCharType="separate"/>
      </w:r>
      <w:r>
        <w:t>7</w:t>
      </w:r>
      <w:r>
        <w:fldChar w:fldCharType="end"/>
      </w:r>
    </w:p>
    <w:p>
      <w:pPr>
        <w:ind w:firstLine="420"/>
        <w:jc w:val="center"/>
      </w:pPr>
      <w:r>
        <w:drawing>
          <wp:inline distT="0" distB="0" distL="0" distR="0">
            <wp:extent cx="5274310" cy="2868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74310" cy="2868295"/>
                    </a:xfrm>
                    <a:prstGeom prst="rect">
                      <a:avLst/>
                    </a:prstGeom>
                  </pic:spPr>
                </pic:pic>
              </a:graphicData>
            </a:graphic>
          </wp:inline>
        </w:drawing>
      </w:r>
    </w:p>
    <w:p>
      <w:pPr>
        <w:ind w:firstLine="420"/>
      </w:pPr>
    </w:p>
    <w:p>
      <w:pPr>
        <w:ind w:firstLine="420"/>
        <w:rPr>
          <w:rFonts w:hint="eastAsia"/>
        </w:rPr>
        <w:sectPr>
          <w:type w:val="continuous"/>
          <w:pgSz w:w="11906" w:h="16838"/>
          <w:pgMar w:top="1440" w:right="1800" w:bottom="1440" w:left="1800" w:header="851" w:footer="992" w:gutter="0"/>
          <w:cols w:space="425" w:num="1"/>
          <w:docGrid w:type="lines" w:linePitch="312" w:charSpace="0"/>
        </w:sectPr>
      </w:pPr>
      <w:r>
        <w:drawing>
          <wp:inline distT="0" distB="0" distL="0" distR="0">
            <wp:extent cx="5274310" cy="28771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74310" cy="2877185"/>
                    </a:xfrm>
                    <a:prstGeom prst="rect">
                      <a:avLst/>
                    </a:prstGeom>
                  </pic:spPr>
                </pic:pic>
              </a:graphicData>
            </a:graphic>
          </wp:inline>
        </w:drawing>
      </w:r>
    </w:p>
    <w:p>
      <w:pPr>
        <w:ind w:firstLine="420"/>
      </w:pPr>
      <w:r>
        <w:rPr>
          <w:rFonts w:hint="eastAsia"/>
        </w:rPr>
        <w:t>每个单独的实例都被各策略求解了十次。结果用平均值和标准差表示（下标）。</w:t>
      </w:r>
    </w:p>
    <w:p>
      <w:pPr>
        <w:pStyle w:val="4"/>
      </w:pPr>
      <w:r>
        <w:rPr>
          <w:rFonts w:hint="eastAsia"/>
        </w:rPr>
        <w:t>B. 结果</w:t>
      </w:r>
    </w:p>
    <w:p>
      <w:pPr>
        <w:pStyle w:val="17"/>
        <w:numPr>
          <w:ilvl w:val="0"/>
          <w:numId w:val="9"/>
        </w:numPr>
        <w:ind w:firstLineChars="0"/>
      </w:pPr>
      <w:r>
        <w:rPr>
          <w:rFonts w:hint="eastAsia"/>
          <w:i/>
        </w:rPr>
        <w:t>非自适应与自适应 MA 对比：</w:t>
      </w:r>
      <w:r>
        <w:rPr>
          <w:rFonts w:hint="eastAsia"/>
        </w:rPr>
        <w:t xml:space="preserve">表 8 显示了由不同策略获得的结果。这些结果以针对每个实例获得的最高适应度值的平均误差百分比来表示。为了演示由所提出的技术实现的适应性机制的有效性，我们将首先通过比较自适应与非自适应 MA 来分析结果。为了进行更严格的比较，我们使用由 </w:t>
      </w:r>
      <w:r>
        <w:t>García et al</w:t>
      </w:r>
      <w:r>
        <w:rPr>
          <w:rFonts w:hint="eastAsia"/>
        </w:rPr>
        <w:t>.</w:t>
      </w:r>
      <w:r>
        <w:rPr>
          <w:rFonts w:hint="eastAsia" w:ascii="Times New Roman" w:hAnsi="Times New Roman" w:eastAsia="楷体_GB2312" w:cstheme="minorBidi"/>
          <w:kern w:val="2"/>
          <w:sz w:val="21"/>
          <w:szCs w:val="22"/>
          <w:vertAlign w:val="superscript"/>
          <w:lang w:val="en-US" w:eastAsia="zh-CN" w:bidi="ar-SA"/>
        </w:rPr>
        <w:t xml:space="preserve"> [</w:t>
      </w:r>
      <w:r>
        <w:rPr>
          <w:rFonts w:hint="eastAsia" w:ascii="Times New Roman" w:hAnsi="Times New Roman" w:eastAsia="楷体_GB2312" w:cstheme="minorBidi"/>
          <w:kern w:val="2"/>
          <w:sz w:val="21"/>
          <w:szCs w:val="22"/>
          <w:vertAlign w:val="superscript"/>
          <w:lang w:val="en-US" w:eastAsia="zh-CN" w:bidi="ar-SA"/>
        </w:rPr>
        <w:t>43]</w:t>
      </w:r>
      <w:r>
        <w:rPr>
          <w:rFonts w:hint="eastAsia"/>
        </w:rPr>
        <w:t xml:space="preserve"> 提出的方法，该方法采用非参数统计测试来研究通过不同方法获得的结果间的差异。</w:t>
      </w:r>
    </w:p>
    <w:p>
      <w:pPr>
        <w:ind w:firstLine="420"/>
      </w:pPr>
      <w:r>
        <w:rPr>
          <w:rFonts w:hint="eastAsia"/>
        </w:rPr>
        <w:t>一开始，通过使用 Friedman 检验，我们评估每个元启发式获得的结果间是否存在任何显著差异。特别地，Friedman 检验表明差异是统计学上的显着差异，为 0.05 水平。然后，通过使用 Wilcoxon 的无符号秩检验将每个策略的性能与其他策略的性能进行成对比较。对于零假设，假定等效结果分布存在。另一方面，所考虑的替代假设的真实位置偏移不等于 0。当超过两项技术进行比较，需要调整获得的 p 值。我们使用 Benjamini-Hochberg 方法对它们进行调整。表 9 对获得的结果做了总结。当两个策略的性能差异明显（p 值小于 0.05）时，用“+”表征，若结果在统计学上无意义，则使用 “-”。</w:t>
      </w:r>
    </w:p>
    <w:p>
      <w:pPr>
        <w:ind w:firstLine="420"/>
        <w:sectPr>
          <w:type w:val="continuous"/>
          <w:pgSz w:w="11906" w:h="16838"/>
          <w:pgMar w:top="1440" w:right="1800" w:bottom="1440" w:left="1800" w:header="851" w:footer="992" w:gutter="0"/>
          <w:cols w:space="425" w:num="2"/>
          <w:docGrid w:type="lines" w:linePitch="312" w:charSpace="0"/>
        </w:sectPr>
      </w:pPr>
    </w:p>
    <w:p>
      <w:pPr>
        <w:pStyle w:val="5"/>
        <w:keepNext/>
        <w:ind w:firstLine="400"/>
      </w:pPr>
      <w:r>
        <w:t xml:space="preserve">表 </w:t>
      </w:r>
      <w:r>
        <w:fldChar w:fldCharType="begin"/>
      </w:r>
      <w:r>
        <w:instrText xml:space="preserve"> SEQ 表 \* ARABIC </w:instrText>
      </w:r>
      <w:r>
        <w:fldChar w:fldCharType="separate"/>
      </w:r>
      <w:r>
        <w:t>8</w:t>
      </w:r>
      <w:r>
        <w:fldChar w:fldCharType="end"/>
      </w:r>
    </w:p>
    <w:p>
      <w:pPr>
        <w:ind w:firstLine="420"/>
      </w:pPr>
      <w:r>
        <w:drawing>
          <wp:inline distT="0" distB="0" distL="0" distR="0">
            <wp:extent cx="5274310" cy="16535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274310" cy="1653540"/>
                    </a:xfrm>
                    <a:prstGeom prst="rect">
                      <a:avLst/>
                    </a:prstGeom>
                  </pic:spPr>
                </pic:pic>
              </a:graphicData>
            </a:graphic>
          </wp:inline>
        </w:drawing>
      </w:r>
    </w:p>
    <w:p>
      <w:pPr>
        <w:keepNext/>
        <w:ind w:firstLine="420"/>
      </w:pPr>
      <w:r>
        <w:drawing>
          <wp:inline distT="0" distB="0" distL="0" distR="0">
            <wp:extent cx="5274310" cy="5899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274310" cy="589915"/>
                    </a:xfrm>
                    <a:prstGeom prst="rect">
                      <a:avLst/>
                    </a:prstGeom>
                  </pic:spPr>
                </pic:pic>
              </a:graphicData>
            </a:graphic>
          </wp:inline>
        </w:drawing>
      </w:r>
    </w:p>
    <w:p>
      <w:pPr>
        <w:pStyle w:val="5"/>
        <w:ind w:firstLine="40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p>
    <w:p>
      <w:pPr>
        <w:keepNext/>
        <w:ind w:firstLine="420"/>
      </w:pPr>
      <w:r>
        <w:drawing>
          <wp:inline distT="0" distB="0" distL="0" distR="0">
            <wp:extent cx="5274310" cy="13576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1357630"/>
                    </a:xfrm>
                    <a:prstGeom prst="rect">
                      <a:avLst/>
                    </a:prstGeom>
                  </pic:spPr>
                </pic:pic>
              </a:graphicData>
            </a:graphic>
          </wp:inline>
        </w:drawing>
      </w:r>
    </w:p>
    <w:p>
      <w:pPr>
        <w:pStyle w:val="5"/>
        <w:ind w:firstLine="40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p>
    <w:p>
      <w:pPr>
        <w:ind w:firstLine="420"/>
        <w:sectPr>
          <w:type w:val="continuous"/>
          <w:pgSz w:w="11906" w:h="16838"/>
          <w:pgMar w:top="1440" w:right="1800" w:bottom="1440" w:left="1800" w:header="851" w:footer="992" w:gutter="0"/>
          <w:cols w:space="425" w:num="1"/>
          <w:docGrid w:type="lines" w:linePitch="312" w:charSpace="0"/>
        </w:sectPr>
      </w:pPr>
    </w:p>
    <w:p>
      <w:pPr>
        <w:ind w:firstLine="420"/>
      </w:pPr>
      <w:r>
        <w:rPr>
          <w:rFonts w:hint="eastAsia"/>
        </w:rPr>
        <w:t>从获得的结果中可以得到第一个结论是在提出的系统中，引入的适应与协作的效用性。特别地，所有自适应模因策略，除了两个（ 和），结果都显著优于非自适应模因策略的结果。另外，两个不能提升非自适应策略的自适应策略的结果在统计学上等效，除了 GA + SA 在一个例子中优于 。</w:t>
      </w:r>
    </w:p>
    <w:p>
      <w:pPr>
        <w:ind w:firstLine="420"/>
      </w:pPr>
      <w:r>
        <w:rPr>
          <w:rFonts w:hint="eastAsia"/>
        </w:rPr>
        <w:t>结果同时也显示了提出的技术的可扩展性。在大多数例子中，（16 分之 10），当新的元启发式加入之前的组合时，获得的结果显著地优于之前的。在剩余的 6 个例子中，结果在统计学上并没有显著的不同，但都没有更坏了。并且，可获得更好的结果的策略包含了所有 6 个单独的元启发式。特别地，该策略的结果显著地优于其他所有测试的模因策略，不管是自适应或非自适应的</w:t>
      </w:r>
    </w:p>
    <w:p>
      <w:pPr>
        <w:pStyle w:val="17"/>
        <w:numPr>
          <w:ilvl w:val="0"/>
          <w:numId w:val="9"/>
        </w:numPr>
        <w:ind w:firstLineChars="0"/>
      </w:pPr>
      <w:r>
        <w:rPr>
          <w:rFonts w:hint="eastAsia"/>
          <w:i/>
        </w:rPr>
        <w:t>音乐作曲技术对比：</w:t>
      </w:r>
      <w:r>
        <w:rPr>
          <w:rFonts w:hint="eastAsia"/>
        </w:rPr>
        <w:t>现在，我们将 MA 的性能与 EMC 进行比较，结果如表 8 所示。再次声明，为了进行更公平的比较，我们采用与前一节相同的方法进行分析。表 9 的最后一列表示统计检验的结果。可以看出来，所有 MA 从统计的角度来看，都优于 EMC。这些结果显示了 MA 在解决复杂问题上的能力，比如数字低音技术。</w:t>
      </w:r>
    </w:p>
    <w:p>
      <w:pPr>
        <w:pStyle w:val="4"/>
      </w:pPr>
      <w:r>
        <w:rPr>
          <w:rFonts w:hint="eastAsia"/>
        </w:rPr>
        <w:t>C. 解的分析</w:t>
      </w:r>
    </w:p>
    <w:p>
      <w:pPr>
        <w:ind w:firstLine="420"/>
      </w:pPr>
      <w:r>
        <w:rPr>
          <w:rFonts w:hint="eastAsia"/>
        </w:rPr>
        <w:t>分析与所获得的适合度值相关的结果能够让我们找出用于解决问题的最佳策略。然而，这不会带来对所找到的解决方案的音乐特点的洞察。为了弥补这个缺陷，我们将在这个子小节中研究巴赫合唱曲 BWV 25.6 的解。由于解空间的限制，我们将本文限制于第一个方法。</w:t>
      </w:r>
    </w:p>
    <w:p>
      <w:pPr>
        <w:ind w:firstLine="420"/>
      </w:pPr>
      <w:r>
        <w:rPr>
          <w:rFonts w:hint="eastAsia"/>
        </w:rPr>
        <w:t>图 3 表示合唱曲的五线谱（作为输入）。如果我们使用简单的随机搜索来解决该实例，我们可能可以获得如图 4 所示的解。该解决方案是在实例解析的初始步骤期间获得的，其结果乍一看，很混乱。事实上，它有许多第三节中定义的和谐错误，因此结果听起来会不和谐不令人愉悦。</w:t>
      </w:r>
    </w:p>
    <w:p>
      <w:pPr>
        <w:ind w:firstLine="420"/>
        <w:sectPr>
          <w:type w:val="continuous"/>
          <w:pgSz w:w="11906" w:h="16838"/>
          <w:pgMar w:top="1440" w:right="1800" w:bottom="1440" w:left="1800" w:header="851" w:footer="992" w:gutter="0"/>
          <w:cols w:space="425" w:num="2"/>
          <w:docGrid w:type="lines" w:linePitch="312" w:charSpace="0"/>
        </w:sectPr>
      </w:pPr>
    </w:p>
    <w:p>
      <w:pPr>
        <w:keepNext/>
        <w:ind w:firstLine="420"/>
      </w:pPr>
      <w:r>
        <w:drawing>
          <wp:inline distT="0" distB="0" distL="0" distR="0">
            <wp:extent cx="4714240" cy="12776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4743531" cy="1286111"/>
                    </a:xfrm>
                    <a:prstGeom prst="rect">
                      <a:avLst/>
                    </a:prstGeom>
                  </pic:spPr>
                </pic:pic>
              </a:graphicData>
            </a:graphic>
          </wp:inline>
        </w:drawing>
      </w:r>
    </w:p>
    <w:p>
      <w:pPr>
        <w:pStyle w:val="5"/>
        <w:ind w:firstLine="40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p>
    <w:p>
      <w:pPr>
        <w:keepNext/>
        <w:ind w:firstLine="420"/>
      </w:pPr>
      <w:r>
        <w:drawing>
          <wp:inline distT="0" distB="0" distL="0" distR="0">
            <wp:extent cx="5274310" cy="12903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5274310" cy="1290320"/>
                    </a:xfrm>
                    <a:prstGeom prst="rect">
                      <a:avLst/>
                    </a:prstGeom>
                  </pic:spPr>
                </pic:pic>
              </a:graphicData>
            </a:graphic>
          </wp:inline>
        </w:drawing>
      </w:r>
    </w:p>
    <w:p>
      <w:pPr>
        <w:pStyle w:val="5"/>
        <w:ind w:firstLine="40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p>
    <w:p>
      <w:pPr>
        <w:ind w:firstLine="420"/>
        <w:sectPr>
          <w:type w:val="continuous"/>
          <w:pgSz w:w="11906" w:h="16838"/>
          <w:pgMar w:top="1440" w:right="1800" w:bottom="1440" w:left="1800" w:header="851" w:footer="992" w:gutter="0"/>
          <w:cols w:space="425" w:num="1"/>
          <w:docGrid w:type="lines" w:linePitch="312" w:charSpace="0"/>
        </w:sectPr>
      </w:pPr>
    </w:p>
    <w:p>
      <w:pPr>
        <w:ind w:firstLine="420"/>
      </w:pPr>
      <w:r>
        <w:rPr>
          <w:rFonts w:hint="eastAsia"/>
        </w:rPr>
        <w:t>图 5 显示了可以在随机搜索解中隔离避免的关键错误。在随机和谐片段的前六个测量中总共出现了七个关键错误。同时，还有 12 个小问题（第三节中标为普通问题的）未显示。错误的音符用更深的颜色标出。这些错误如下：</w:t>
      </w:r>
    </w:p>
    <w:p>
      <w:pPr>
        <w:pStyle w:val="17"/>
        <w:numPr>
          <w:ilvl w:val="0"/>
          <w:numId w:val="10"/>
        </w:numPr>
        <w:ind w:firstLineChars="0"/>
      </w:pPr>
      <w:r>
        <w:rPr>
          <w:rFonts w:hint="eastAsia"/>
          <w:i/>
        </w:rPr>
        <w:t>连续五度：</w:t>
      </w:r>
      <w:r>
        <w:rPr>
          <w:rFonts w:hint="eastAsia"/>
        </w:rPr>
        <w:t xml:space="preserve">该错误表示两个声音的变化，一个完美的五度之后跟着一个不同的完美五度。如图中的 </w:t>
      </w:r>
      <w:r>
        <w:rPr>
          <w:rFonts w:hint="eastAsia"/>
          <w:i/>
        </w:rPr>
        <w:t>a，d，e，f</w:t>
      </w:r>
      <w:r>
        <w:rPr>
          <w:rFonts w:hint="eastAsia"/>
        </w:rPr>
        <w:t xml:space="preserve"> 和</w:t>
      </w:r>
      <w:r>
        <w:rPr>
          <w:rFonts w:hint="eastAsia"/>
          <w:i/>
        </w:rPr>
        <w:t xml:space="preserve"> g</w:t>
      </w:r>
      <w:r>
        <w:rPr>
          <w:rFonts w:hint="eastAsia"/>
        </w:rPr>
        <w:t xml:space="preserve"> 部分。</w:t>
      </w:r>
    </w:p>
    <w:p>
      <w:pPr>
        <w:pStyle w:val="17"/>
        <w:numPr>
          <w:ilvl w:val="0"/>
          <w:numId w:val="10"/>
        </w:numPr>
        <w:ind w:firstLineChars="0"/>
      </w:pPr>
      <w:r>
        <w:rPr>
          <w:rFonts w:hint="eastAsia"/>
          <w:i/>
        </w:rPr>
        <w:t>同度：</w:t>
      </w:r>
      <w:r>
        <w:rPr>
          <w:rFonts w:hint="eastAsia"/>
        </w:rPr>
        <w:t>该错误可在图中 b 和 c 部分看到，当两个音朝同一个方向一致变化时出现。</w:t>
      </w:r>
    </w:p>
    <w:p>
      <w:pPr>
        <w:ind w:firstLine="420"/>
      </w:pPr>
      <w:r>
        <w:rPr>
          <w:rFonts w:hint="eastAsia"/>
        </w:rPr>
        <w:t>选择不同的和弦，或交换每个音演奏的音符，可能可以优化解，并消除错误。然而，这么做可能会引入新的错误。图 6 显示了巴赫合唱曲 25.6 的 EMC 最优解（就适应函数而言）。其看起来比随机生成的解组织得更好，听起来也更好。随机解中出现的所有关键错误都被消除了，但又产生了新的错误，如图 7 所示。EMC 解中有两个关键错误，八个正常问题。这两个错误包括：</w:t>
      </w:r>
    </w:p>
    <w:p>
      <w:pPr>
        <w:pStyle w:val="17"/>
        <w:numPr>
          <w:ilvl w:val="0"/>
          <w:numId w:val="11"/>
        </w:numPr>
        <w:ind w:firstLineChars="0"/>
      </w:pPr>
      <w:r>
        <w:rPr>
          <w:rFonts w:hint="eastAsia"/>
          <w:i/>
        </w:rPr>
        <w:t>平行八度：</w:t>
      </w:r>
      <w:r>
        <w:rPr>
          <w:rFonts w:hint="eastAsia"/>
        </w:rPr>
        <w:t>该错误见图 7 的</w:t>
      </w:r>
      <w:r>
        <w:rPr>
          <w:rFonts w:hint="eastAsia"/>
          <w:i/>
        </w:rPr>
        <w:t>a</w:t>
      </w:r>
      <w:r>
        <w:rPr>
          <w:rFonts w:hint="eastAsia"/>
        </w:rPr>
        <w:t>和</w:t>
      </w:r>
      <w:r>
        <w:rPr>
          <w:rFonts w:hint="eastAsia"/>
          <w:i/>
        </w:rPr>
        <w:t>b</w:t>
      </w:r>
      <w:r>
        <w:rPr>
          <w:rFonts w:hint="eastAsia"/>
        </w:rPr>
        <w:t>部分，当两个音在相同方向上从较小间隔跳跃到完美八度音程的间隔。</w:t>
      </w:r>
    </w:p>
    <w:p>
      <w:pPr>
        <w:ind w:firstLine="420"/>
      </w:pPr>
      <w:r>
        <w:rPr>
          <w:rFonts w:hint="eastAsia"/>
        </w:rPr>
        <w:t>如果使用恰当的方法，是可以消除所有的关键性错误的，和大多数非关键性错误。图 8 显示了  的最优解（就适应函数而言）。该解没有之前定义的任何错误。因此，它听起来比本节中所有其余解都动听。</w:t>
      </w:r>
    </w:p>
    <w:p>
      <w:pPr>
        <w:keepNext/>
        <w:ind w:firstLine="420"/>
        <w:jc w:val="center"/>
      </w:pPr>
      <w:r>
        <w:drawing>
          <wp:inline distT="0" distB="0" distL="0" distR="0">
            <wp:extent cx="1861185" cy="114617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1893832" cy="1166486"/>
                    </a:xfrm>
                    <a:prstGeom prst="rect">
                      <a:avLst/>
                    </a:prstGeom>
                  </pic:spPr>
                </pic:pic>
              </a:graphicData>
            </a:graphic>
          </wp:inline>
        </w:drawing>
      </w:r>
    </w:p>
    <w:p>
      <w:pPr>
        <w:pStyle w:val="5"/>
        <w:ind w:firstLine="40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p>
    <w:p>
      <w:pPr>
        <w:pStyle w:val="4"/>
      </w:pPr>
      <w:r>
        <w:rPr>
          <w:rFonts w:hint="eastAsia"/>
        </w:rPr>
        <w:t>D. 音乐品质</w:t>
      </w:r>
    </w:p>
    <w:p>
      <w:pPr>
        <w:ind w:firstLine="420"/>
      </w:pPr>
      <w:r>
        <w:rPr>
          <w:rFonts w:hint="eastAsia"/>
        </w:rPr>
        <w:t>正如介绍中所指出的，音乐作曲的品质是一个主观的判断。然而，所提供的解没有任何关键性错误。</w:t>
      </w:r>
    </w:p>
    <w:p>
      <w:pPr>
        <w:ind w:firstLine="420"/>
      </w:pPr>
      <w:r>
        <w:rPr>
          <w:rFonts w:hint="eastAsia"/>
        </w:rPr>
        <w:t>我们进行了鉴赏测试，由具有音乐背景的人聆听我们所提出的模因作曲生成的音乐。鉴赏测试的反馈表明，这些音乐作品是健全的，并遵守一般作曲规则。人类作曲家可能在创造性上表现得更好，但大多数人都惊叹于计算机居然能创造这样的曲子。</w:t>
      </w:r>
    </w:p>
    <w:p>
      <w:pPr>
        <w:ind w:firstLine="420"/>
      </w:pPr>
      <w:r>
        <w:rPr>
          <w:rFonts w:hint="eastAsia"/>
        </w:rPr>
        <w:t>我们提出的 MMC 取得的结果基本满足预期。事实上，它们代表具有显著质量和和谐的解决方案。这样的结果是可行的，因为我们提出的系统的协作功能能够消除所有关键性错误和许多和谐规则允许的错误。</w:t>
      </w:r>
    </w:p>
    <w:p>
      <w:pPr>
        <w:pStyle w:val="2"/>
        <w:sectPr>
          <w:type w:val="continuous"/>
          <w:pgSz w:w="11906" w:h="16838"/>
          <w:pgMar w:top="1440" w:right="1800" w:bottom="1440" w:left="1800" w:header="851" w:footer="992" w:gutter="0"/>
          <w:cols w:space="425" w:num="2"/>
          <w:docGrid w:type="lines" w:linePitch="312" w:charSpace="0"/>
        </w:sectPr>
      </w:pPr>
    </w:p>
    <w:p>
      <w:pPr>
        <w:keepNext/>
        <w:ind w:firstLine="420"/>
      </w:pPr>
      <w:r>
        <w:drawing>
          <wp:inline distT="0" distB="0" distL="0" distR="0">
            <wp:extent cx="5274310" cy="13068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5274310" cy="1306830"/>
                    </a:xfrm>
                    <a:prstGeom prst="rect">
                      <a:avLst/>
                    </a:prstGeom>
                  </pic:spPr>
                </pic:pic>
              </a:graphicData>
            </a:graphic>
          </wp:inline>
        </w:drawing>
      </w:r>
    </w:p>
    <w:p>
      <w:pPr>
        <w:pStyle w:val="5"/>
        <w:ind w:firstLine="40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p>
    <w:p>
      <w:pPr>
        <w:pStyle w:val="2"/>
        <w:sectPr>
          <w:type w:val="continuous"/>
          <w:pgSz w:w="11906" w:h="16838"/>
          <w:pgMar w:top="1440" w:right="1800" w:bottom="1440" w:left="1800" w:header="851" w:footer="992" w:gutter="0"/>
          <w:cols w:space="425" w:num="1"/>
          <w:docGrid w:type="lines" w:linePitch="312" w:charSpace="0"/>
        </w:sectPr>
      </w:pPr>
    </w:p>
    <w:p>
      <w:pPr>
        <w:pStyle w:val="3"/>
      </w:pPr>
      <w:r>
        <w:rPr>
          <w:rFonts w:hint="eastAsia"/>
        </w:rPr>
        <w:t>六、结论</w:t>
      </w:r>
    </w:p>
    <w:p>
      <w:pPr>
        <w:ind w:firstLine="420"/>
      </w:pPr>
      <w:r>
        <w:rPr>
          <w:rFonts w:hint="eastAsia"/>
        </w:rPr>
        <w:t>自动音乐作曲是计算机艺术的最重要领域之一，最近的学科研究旨在通过人工智能技术复制人类创造性的艺术设计。不同方法被应用于解决该挑战，其中，因为进化算法评估和演化给定音乐作品片段的能力，遗传音乐在这方面扮演着越来越重要的角色。然而，基于遗传技术的自动音乐作曲离完善还很遥远,因为以下两个关键因素：1）人为的再现人类作曲家的天才与能力的巨大挑战；2）对于自动生成的旋律的美学评估做一个正式的准则很困难。</w:t>
      </w:r>
    </w:p>
    <w:p>
      <w:pPr>
        <w:ind w:firstLine="420"/>
      </w:pPr>
      <w:r>
        <w:rPr>
          <w:rFonts w:hint="eastAsia"/>
        </w:rPr>
        <w:t>本文展现了进化音乐领域突破性的技术，由于对音乐的多元进化过程的模仿，组合不同模因作曲代理， 能有效地解决上述问题。事实上，所提出的问题正式将非数字五线谱作曲技术建模为基于一个创新的音乐适应函数的优化文同，该应用函数使用著名的和谐规则来使每个作曲代理以准确和正式的方式评估其作曲的技巧。该适应函数是用于实现提出的自动音乐作曲系统的自适应模因方法的关键，使得该方法能够比当前的进化方法具有更好的性能。事实上，在实验部分我们见到过了，自适应模因方法从统计的角度看，克服了所有其他在音乐作曲领域使用的混合或非混合的进化算法。而且，我们提出的自适应 MA 已经被证明在观测与监控方面比传统的进化音乐方法更好。进化音乐由一组具有音乐背景的人进行过检验，通过将由模因作曲代理生成的音乐片段与其他技术生成的音乐片段进行比价。</w:t>
      </w:r>
    </w:p>
    <w:p>
      <w:pPr>
        <w:ind w:firstLine="420"/>
      </w:pPr>
      <w:r>
        <w:rPr>
          <w:rFonts w:hint="eastAsia"/>
        </w:rPr>
        <w:t>未来，我们将扩展我们的方法，以处理不同的音乐作曲技术和美学进化算法，成为进化音乐领域最完善与高质量的方法。</w:t>
      </w:r>
    </w:p>
    <w:p>
      <w:pPr>
        <w:pStyle w:val="3"/>
      </w:pPr>
      <w:r>
        <w:rPr>
          <w:rFonts w:hint="eastAsia"/>
        </w:rPr>
        <w:t>致谢</w:t>
      </w:r>
    </w:p>
    <w:p>
      <w:pPr>
        <w:ind w:firstLine="420"/>
      </w:pPr>
      <w:r>
        <w:t xml:space="preserve">E. Muñoz </w:t>
      </w:r>
      <w:r>
        <w:rPr>
          <w:rFonts w:hint="eastAsia"/>
        </w:rPr>
        <w:t>对自适应模因算法的整体设计做出了贡献。</w:t>
      </w:r>
      <w:r>
        <w:t xml:space="preserve">G. Acampora </w:t>
      </w:r>
      <w:r>
        <w:rPr>
          <w:rFonts w:hint="eastAsia"/>
        </w:rPr>
        <w:t>是本研究的主要监督者。其他作者在撰写与修改论文方面做出了重大贡献。</w:t>
      </w:r>
      <w:r>
        <w:br w:type="page"/>
      </w:r>
    </w:p>
    <w:p>
      <w:pPr>
        <w:pStyle w:val="3"/>
      </w:pPr>
      <w:r>
        <w:t>参考文献</w:t>
      </w:r>
    </w:p>
    <w:p>
      <w:pPr>
        <w:pStyle w:val="17"/>
        <w:numPr>
          <w:ilvl w:val="0"/>
          <w:numId w:val="12"/>
        </w:numPr>
        <w:ind w:firstLineChars="0"/>
      </w:pPr>
      <w:r>
        <w:t>E. R. Miranda, “Composing music with computers,” Music Technology</w:t>
      </w:r>
      <w:r>
        <w:rPr>
          <w:rFonts w:hint="eastAsia"/>
        </w:rPr>
        <w:t xml:space="preserve"> </w:t>
      </w:r>
      <w:r>
        <w:t>Series. Oxford, U.K.: Focal Press, 2001.</w:t>
      </w:r>
    </w:p>
    <w:p>
      <w:pPr>
        <w:pStyle w:val="17"/>
        <w:numPr>
          <w:ilvl w:val="0"/>
          <w:numId w:val="12"/>
        </w:numPr>
        <w:ind w:firstLineChars="0"/>
      </w:pPr>
      <w:r>
        <w:t>L. Fogel, “Evolving art,” in Proc. 1st Annu. Conf. Evol. Program.,San Diego, CA, USA, 1992, pp. 183–189.</w:t>
      </w:r>
    </w:p>
    <w:p>
      <w:pPr>
        <w:pStyle w:val="17"/>
        <w:numPr>
          <w:ilvl w:val="0"/>
          <w:numId w:val="12"/>
        </w:numPr>
        <w:ind w:firstLineChars="0"/>
      </w:pPr>
      <w:r>
        <w:t>M. Dostál, “Evolutionary music composition,” in Handbook of</w:t>
      </w:r>
      <w:r>
        <w:rPr>
          <w:rFonts w:hint="eastAsia"/>
        </w:rPr>
        <w:t xml:space="preserve"> </w:t>
      </w:r>
      <w:r>
        <w:t>Optimization (Intelligent Systems Reference Library), vol. 38, I. Zelinka,</w:t>
      </w:r>
      <w:r>
        <w:rPr>
          <w:rFonts w:hint="eastAsia"/>
        </w:rPr>
        <w:t xml:space="preserve"> </w:t>
      </w:r>
      <w:r>
        <w:t>V. Snàˇ sel, and A. Abraham, Eds. Berlin, Germany: Springer, 2013,</w:t>
      </w:r>
      <w:r>
        <w:rPr>
          <w:rFonts w:hint="eastAsia"/>
        </w:rPr>
        <w:t xml:space="preserve"> </w:t>
      </w:r>
      <w:r>
        <w:t>pp. 935–964.</w:t>
      </w:r>
    </w:p>
    <w:p>
      <w:pPr>
        <w:pStyle w:val="17"/>
        <w:numPr>
          <w:ilvl w:val="0"/>
          <w:numId w:val="12"/>
        </w:numPr>
        <w:ind w:firstLineChars="0"/>
      </w:pPr>
      <w:r>
        <w:t>X. S. Chen and Y. S. Ong, “A conceptual modeling of meme complexes</w:t>
      </w:r>
      <w:r>
        <w:rPr>
          <w:rFonts w:hint="eastAsia"/>
        </w:rPr>
        <w:t xml:space="preserve"> </w:t>
      </w:r>
      <w:r>
        <w:t>in stochastic search,” IEEE Trans. Syst., Man, Cybern. C, Appl. Rev.,</w:t>
      </w:r>
      <w:r>
        <w:rPr>
          <w:rFonts w:hint="eastAsia"/>
        </w:rPr>
        <w:t xml:space="preserve"> </w:t>
      </w:r>
      <w:r>
        <w:t>vol. 42, no. 3, pp. 612–625, Sep. 2012.</w:t>
      </w:r>
    </w:p>
    <w:p>
      <w:pPr>
        <w:pStyle w:val="17"/>
        <w:numPr>
          <w:ilvl w:val="0"/>
          <w:numId w:val="12"/>
        </w:numPr>
        <w:ind w:firstLineChars="0"/>
      </w:pPr>
      <w:r>
        <w:t>D. W. Johnson and R. T. Johnson, Cooperation and Competition: Theory</w:t>
      </w:r>
      <w:r>
        <w:rPr>
          <w:rFonts w:hint="eastAsia"/>
        </w:rPr>
        <w:t xml:space="preserve"> </w:t>
      </w:r>
      <w:r>
        <w:t>and Research. Edina, MN, USA: Interaction Book Company, 1989.</w:t>
      </w:r>
    </w:p>
    <w:p>
      <w:pPr>
        <w:pStyle w:val="17"/>
        <w:numPr>
          <w:ilvl w:val="0"/>
          <w:numId w:val="12"/>
        </w:numPr>
        <w:ind w:firstLineChars="0"/>
      </w:pPr>
      <w:r>
        <w:t>P. Moscato, “On evolution, search, optimization, GAs and martial arts:</w:t>
      </w:r>
      <w:r>
        <w:rPr>
          <w:rFonts w:hint="eastAsia"/>
        </w:rPr>
        <w:t xml:space="preserve"> </w:t>
      </w:r>
      <w:r>
        <w:t>Toward memetic algorithms,” California Inst. Technol., Pasadena, CA,</w:t>
      </w:r>
      <w:r>
        <w:rPr>
          <w:rFonts w:hint="eastAsia"/>
        </w:rPr>
        <w:t xml:space="preserve"> </w:t>
      </w:r>
      <w:r>
        <w:t>USA, Tech. Rep. Caltech Concurrent Comput. Prog. Rep. 826, 1989.</w:t>
      </w:r>
    </w:p>
    <w:p>
      <w:pPr>
        <w:pStyle w:val="17"/>
        <w:numPr>
          <w:ilvl w:val="0"/>
          <w:numId w:val="12"/>
        </w:numPr>
        <w:ind w:firstLineChars="0"/>
      </w:pPr>
      <w:r>
        <w:t>N. Krasnogor and J. E. Smith, “A tutorial for competent memetic</w:t>
      </w:r>
      <w:r>
        <w:rPr>
          <w:rFonts w:hint="eastAsia"/>
        </w:rPr>
        <w:t xml:space="preserve"> </w:t>
      </w:r>
      <w:r>
        <w:t>algorithms: Model, taxonomy and design issues,” IEEE Trans. Evol.</w:t>
      </w:r>
      <w:r>
        <w:rPr>
          <w:rFonts w:hint="eastAsia"/>
        </w:rPr>
        <w:t xml:space="preserve"> </w:t>
      </w:r>
      <w:r>
        <w:t>Comput., vol. 9, no. 5, pp. 474–488, Oct. 2005.</w:t>
      </w:r>
    </w:p>
    <w:p>
      <w:pPr>
        <w:pStyle w:val="17"/>
        <w:numPr>
          <w:ilvl w:val="0"/>
          <w:numId w:val="12"/>
        </w:numPr>
        <w:ind w:firstLineChars="0"/>
      </w:pPr>
      <w:r>
        <w:t>A. Torn and A. Zilinskas, Global Optimization (Lecture Notes in</w:t>
      </w:r>
      <w:r>
        <w:rPr>
          <w:rFonts w:hint="eastAsia"/>
        </w:rPr>
        <w:t xml:space="preserve"> </w:t>
      </w:r>
      <w:r>
        <w:t>Computer Science), vol. 350. Berlin, Germany: Springer, 1989.</w:t>
      </w:r>
    </w:p>
    <w:p>
      <w:pPr>
        <w:pStyle w:val="17"/>
        <w:numPr>
          <w:ilvl w:val="0"/>
          <w:numId w:val="12"/>
        </w:numPr>
        <w:ind w:firstLineChars="0"/>
      </w:pPr>
      <w:r>
        <w:t>Y. S. Ong and A. J. Keane, “Meta-Lamarckian in memetic algorithm,”</w:t>
      </w:r>
      <w:r>
        <w:rPr>
          <w:rFonts w:hint="eastAsia"/>
        </w:rPr>
        <w:t xml:space="preserve"> </w:t>
      </w:r>
      <w:r>
        <w:t>IEEE Trans. Evol. Comput., vol. 8, no. 2, pp. 99–110, Apr. 2004.</w:t>
      </w:r>
    </w:p>
    <w:p>
      <w:pPr>
        <w:pStyle w:val="17"/>
        <w:numPr>
          <w:ilvl w:val="0"/>
          <w:numId w:val="12"/>
        </w:numPr>
        <w:ind w:firstLineChars="0"/>
      </w:pPr>
      <w:r>
        <w:t>Y. S. Ong, M. H. Lim, N. Zhu, and K. W. Wong, “Classification of</w:t>
      </w:r>
      <w:r>
        <w:rPr>
          <w:rFonts w:hint="eastAsia"/>
        </w:rPr>
        <w:t xml:space="preserve"> </w:t>
      </w:r>
      <w:r>
        <w:t>adaptive memetic algorithms: A comparative study,” IEEE Trans. Syst.,</w:t>
      </w:r>
      <w:r>
        <w:rPr>
          <w:rFonts w:hint="eastAsia"/>
        </w:rPr>
        <w:t xml:space="preserve"> </w:t>
      </w:r>
      <w:r>
        <w:t>Man, Cybern. B, Cybern., vol. 36, no. 1, pp. 141–152, Feb. 2006.</w:t>
      </w:r>
    </w:p>
    <w:p>
      <w:pPr>
        <w:pStyle w:val="17"/>
        <w:numPr>
          <w:ilvl w:val="0"/>
          <w:numId w:val="12"/>
        </w:numPr>
        <w:ind w:firstLineChars="0"/>
      </w:pPr>
      <w:r>
        <w:t>L. Hiller, “Computer music,” Sci. Amer., vol. 201, no. 6, pp. 109–120,</w:t>
      </w:r>
      <w:r>
        <w:rPr>
          <w:rFonts w:hint="eastAsia"/>
        </w:rPr>
        <w:t xml:space="preserve"> </w:t>
      </w:r>
      <w:r>
        <w:t>1959.</w:t>
      </w:r>
    </w:p>
    <w:p>
      <w:pPr>
        <w:pStyle w:val="17"/>
        <w:numPr>
          <w:ilvl w:val="0"/>
          <w:numId w:val="12"/>
        </w:numPr>
        <w:ind w:firstLineChars="0"/>
      </w:pPr>
      <w:r>
        <w:t>L. Hiller and L. M. Isaacson, Experimental Music: Composition With</w:t>
      </w:r>
      <w:r>
        <w:rPr>
          <w:rFonts w:hint="eastAsia"/>
        </w:rPr>
        <w:t xml:space="preserve"> </w:t>
      </w:r>
      <w:r>
        <w:t>an Electronic Computer. New York, NY, USA: McGraw-Hill, 1959.</w:t>
      </w:r>
    </w:p>
    <w:p>
      <w:pPr>
        <w:pStyle w:val="17"/>
        <w:numPr>
          <w:ilvl w:val="0"/>
          <w:numId w:val="12"/>
        </w:numPr>
        <w:ind w:firstLineChars="0"/>
      </w:pPr>
      <w:r>
        <w:t>J. A. Biles, “Evolutionary computation for musical tasks,”</w:t>
      </w:r>
      <w:r>
        <w:rPr>
          <w:rFonts w:hint="eastAsia"/>
        </w:rPr>
        <w:t xml:space="preserve"> </w:t>
      </w:r>
      <w:r>
        <w:t>in Evolutionary Computer Music, E. R. Miranda and J. Al Biles,</w:t>
      </w:r>
      <w:r>
        <w:rPr>
          <w:rFonts w:hint="eastAsia"/>
        </w:rPr>
        <w:t xml:space="preserve"> </w:t>
      </w:r>
      <w:r>
        <w:t>Eds. London, U.K.: Springer, 2007.</w:t>
      </w:r>
    </w:p>
    <w:p>
      <w:pPr>
        <w:pStyle w:val="17"/>
        <w:numPr>
          <w:ilvl w:val="0"/>
          <w:numId w:val="12"/>
        </w:numPr>
        <w:ind w:firstLineChars="0"/>
      </w:pPr>
      <w:r>
        <w:t>A. R. Brown, “Opportunities for evolutionary music composition,”</w:t>
      </w:r>
      <w:r>
        <w:rPr>
          <w:rFonts w:hint="eastAsia"/>
        </w:rPr>
        <w:t xml:space="preserve"> </w:t>
      </w:r>
      <w:r>
        <w:t>in Proc. Aust. Comput. Music Conf., Melbourne, VIC, Australia, 2002,</w:t>
      </w:r>
      <w:r>
        <w:rPr>
          <w:rFonts w:hint="eastAsia"/>
        </w:rPr>
        <w:t xml:space="preserve"> </w:t>
      </w:r>
      <w:r>
        <w:t>pp. 27–34.</w:t>
      </w:r>
    </w:p>
    <w:p>
      <w:pPr>
        <w:pStyle w:val="17"/>
        <w:numPr>
          <w:ilvl w:val="0"/>
          <w:numId w:val="12"/>
        </w:numPr>
        <w:ind w:firstLineChars="0"/>
      </w:pPr>
      <w:r>
        <w:t>R. Waschka, II, “Avoiding the fitness ‘bottleneck’: Using genetic algorithms to compose orchestral music,” in Proc. Int. Computer Music</w:t>
      </w:r>
      <w:r>
        <w:rPr>
          <w:rFonts w:hint="eastAsia"/>
        </w:rPr>
        <w:t xml:space="preserve"> </w:t>
      </w:r>
      <w:r>
        <w:t>Conf., San Francisco, CA, USA, 1999, pp. 201–203.</w:t>
      </w:r>
    </w:p>
    <w:p>
      <w:pPr>
        <w:pStyle w:val="17"/>
        <w:numPr>
          <w:ilvl w:val="0"/>
          <w:numId w:val="12"/>
        </w:numPr>
        <w:ind w:firstLineChars="0"/>
      </w:pPr>
      <w:r>
        <w:t>R. Waschka, II, “Composing with genetic algorithms: GenDash,”</w:t>
      </w:r>
      <w:r>
        <w:rPr>
          <w:rFonts w:hint="eastAsia"/>
        </w:rPr>
        <w:t xml:space="preserve"> </w:t>
      </w:r>
      <w:r>
        <w:t>Evolutionary Computer Music, E. Miranda and J. Biles, Eds. London,</w:t>
      </w:r>
      <w:r>
        <w:rPr>
          <w:rFonts w:hint="eastAsia"/>
        </w:rPr>
        <w:t xml:space="preserve"> </w:t>
      </w:r>
      <w:r>
        <w:t>U.K.: Springer, 2007, pp. 117–136.</w:t>
      </w:r>
    </w:p>
    <w:p>
      <w:pPr>
        <w:pStyle w:val="17"/>
        <w:numPr>
          <w:ilvl w:val="0"/>
          <w:numId w:val="12"/>
        </w:numPr>
        <w:ind w:firstLineChars="0"/>
      </w:pPr>
      <w:r>
        <w:t>B. L. Jacob, “Composing with genetic algorithms,” in Proc. Int. Comput.</w:t>
      </w:r>
      <w:r>
        <w:rPr>
          <w:rFonts w:hint="eastAsia"/>
        </w:rPr>
        <w:t xml:space="preserve"> </w:t>
      </w:r>
      <w:r>
        <w:t>Music Conf., Banff, AB, Canada, 1995, pp. 452–455.</w:t>
      </w:r>
    </w:p>
    <w:p>
      <w:pPr>
        <w:pStyle w:val="17"/>
        <w:numPr>
          <w:ilvl w:val="0"/>
          <w:numId w:val="12"/>
        </w:numPr>
        <w:ind w:firstLineChars="0"/>
      </w:pPr>
      <w:r>
        <w:t>B. L. Jacob, “Algorithmic composition as a model of creativity,” Organ.</w:t>
      </w:r>
      <w:r>
        <w:rPr>
          <w:rFonts w:hint="eastAsia"/>
        </w:rPr>
        <w:t xml:space="preserve"> </w:t>
      </w:r>
      <w:r>
        <w:t>Sound, vol. 1, no. 3, pp. 157–165, 1996.</w:t>
      </w:r>
    </w:p>
    <w:p>
      <w:pPr>
        <w:pStyle w:val="17"/>
        <w:numPr>
          <w:ilvl w:val="0"/>
          <w:numId w:val="12"/>
        </w:numPr>
        <w:ind w:firstLineChars="0"/>
      </w:pPr>
      <w:r>
        <w:t>J. H. Moore. (1994). GAMusic: Genetic Algorithm to Evolve Musical</w:t>
      </w:r>
      <w:r>
        <w:rPr>
          <w:rFonts w:hint="eastAsia"/>
        </w:rPr>
        <w:t xml:space="preserve"> </w:t>
      </w:r>
      <w:r>
        <w:t>Melodies. [Online]</w:t>
      </w:r>
      <w:r>
        <w:rPr>
          <w:rFonts w:hint="eastAsia"/>
        </w:rPr>
        <w:t>.</w:t>
      </w:r>
      <w:r>
        <w:t>Available:http://www.cs.cmu.edu/afs/cs/project/airepository/ai/areas/genetic/ga/systems/gamusic/0.html</w:t>
      </w:r>
    </w:p>
    <w:p>
      <w:pPr>
        <w:pStyle w:val="17"/>
        <w:numPr>
          <w:ilvl w:val="0"/>
          <w:numId w:val="12"/>
        </w:numPr>
        <w:ind w:firstLineChars="0"/>
      </w:pPr>
      <w:r>
        <w:t>B. Johanson and R. Poli, “GP-music: An interactive genetic programming system for music generation with automated fitness raters,”in Proc. 3rd Int. Conf. Genet. Program., Helsinki, Finland, 1998,</w:t>
      </w:r>
      <w:r>
        <w:rPr>
          <w:rFonts w:hint="eastAsia"/>
        </w:rPr>
        <w:t xml:space="preserve"> </w:t>
      </w:r>
      <w:r>
        <w:t>pp. 181–186.</w:t>
      </w:r>
    </w:p>
    <w:p>
      <w:pPr>
        <w:pStyle w:val="17"/>
        <w:numPr>
          <w:ilvl w:val="0"/>
          <w:numId w:val="12"/>
        </w:numPr>
        <w:ind w:firstLineChars="0"/>
      </w:pPr>
      <w:r>
        <w:t>L. Spector and A. Alpern, “Criticism, culture, and the automatic generation of artworks,” in Proc. 12th Nat. Conf. Artif. Intell., vol. 1.Menlo Park, CA, USA, 1994, pp. 3–8.</w:t>
      </w:r>
    </w:p>
    <w:p>
      <w:pPr>
        <w:pStyle w:val="17"/>
        <w:numPr>
          <w:ilvl w:val="0"/>
          <w:numId w:val="12"/>
        </w:numPr>
        <w:ind w:firstLineChars="0"/>
      </w:pPr>
      <w:r>
        <w:t>L. Spector and A. Alpern, “Induction and recapitulation of deep musical structure,” in Proc. IFCAI 1995 Workshop Artif. Intell. Music, Montreal,QC, Canada, pp. 41–48.</w:t>
      </w:r>
    </w:p>
    <w:p>
      <w:pPr>
        <w:pStyle w:val="17"/>
        <w:numPr>
          <w:ilvl w:val="0"/>
          <w:numId w:val="12"/>
        </w:numPr>
        <w:ind w:firstLineChars="0"/>
      </w:pPr>
      <w:r>
        <w:t>J. A. Biles, GenJam: A Genetic Algorithm for Generating Jazz Solos.Ann Arbor, MI, USA: Univ. Michigan Library, 1994.</w:t>
      </w:r>
    </w:p>
    <w:p>
      <w:pPr>
        <w:pStyle w:val="17"/>
        <w:numPr>
          <w:ilvl w:val="0"/>
          <w:numId w:val="12"/>
        </w:numPr>
        <w:ind w:firstLineChars="0"/>
      </w:pPr>
      <w:r>
        <w:t>J. A. Biles,“Interactive GenJam: Integrating real-time performance</w:t>
      </w:r>
      <w:r>
        <w:rPr>
          <w:rFonts w:hint="eastAsia"/>
        </w:rPr>
        <w:t xml:space="preserve"> </w:t>
      </w:r>
      <w:r>
        <w:t>with a genetic algorithm,” in Proc. 1998 Int. Comput. Music Conf.,San Francisco, CA, USA.</w:t>
      </w:r>
    </w:p>
    <w:p>
      <w:pPr>
        <w:pStyle w:val="17"/>
        <w:numPr>
          <w:ilvl w:val="0"/>
          <w:numId w:val="12"/>
        </w:numPr>
        <w:ind w:firstLineChars="0"/>
      </w:pPr>
      <w:r>
        <w:t>J.A. Biles, “Life with GenJam: Interacting with a musical IGA,”in Proc. 1999 IEEE Int. Conf. Syst. Man Cybern., Tokyo, Japan,pp. 652–656.</w:t>
      </w:r>
    </w:p>
    <w:p>
      <w:pPr>
        <w:pStyle w:val="17"/>
        <w:numPr>
          <w:ilvl w:val="0"/>
          <w:numId w:val="12"/>
        </w:numPr>
        <w:ind w:firstLineChars="0"/>
      </w:pPr>
      <w:r>
        <w:t>J. A. Biles, “GenJam: Evolution of a jazz improviser,” in Creative</w:t>
      </w:r>
      <w:r>
        <w:rPr>
          <w:rFonts w:hint="eastAsia"/>
        </w:rPr>
        <w:t xml:space="preserve"> </w:t>
      </w:r>
      <w:r>
        <w:t>Evolutionary Systems, P. Bentley and D. Corne, Eds. San Francisco, CA, USA: Morgan Kaufmann Publishers Inc., pp. 165–187, 2002.</w:t>
      </w:r>
    </w:p>
    <w:p>
      <w:pPr>
        <w:pStyle w:val="17"/>
        <w:numPr>
          <w:ilvl w:val="0"/>
          <w:numId w:val="12"/>
        </w:numPr>
        <w:ind w:firstLineChars="0"/>
      </w:pPr>
      <w:r>
        <w:t>K. Thywissen, “GeNotator: An environment for investigating the</w:t>
      </w:r>
      <w:r>
        <w:rPr>
          <w:rFonts w:hint="eastAsia"/>
        </w:rPr>
        <w:t xml:space="preserve"> </w:t>
      </w:r>
      <w:r>
        <w:t>application of genetic algorithms in computer assisted composition,”</w:t>
      </w:r>
      <w:r>
        <w:rPr>
          <w:rFonts w:hint="eastAsia"/>
        </w:rPr>
        <w:t xml:space="preserve"> </w:t>
      </w:r>
      <w:r>
        <w:t>in Proc. 1996 Int. Comput. Music Conf., San Francisco, CA, USA,</w:t>
      </w:r>
      <w:r>
        <w:rPr>
          <w:rFonts w:hint="eastAsia"/>
        </w:rPr>
        <w:t xml:space="preserve"> </w:t>
      </w:r>
      <w:r>
        <w:t>pp. 274–277.</w:t>
      </w:r>
    </w:p>
    <w:p>
      <w:pPr>
        <w:pStyle w:val="17"/>
        <w:numPr>
          <w:ilvl w:val="0"/>
          <w:numId w:val="12"/>
        </w:numPr>
        <w:ind w:firstLineChars="0"/>
      </w:pPr>
      <w:r>
        <w:t>P. M. Gibson and J. A. Byrne, “NEUROGEN: Musical composition using genetic algorithms and cooperating neural networks,”in Proc. 2nd 1994 Int. Conf. Artif. Neural Netw., Bournemouth, U.K.,1991, pp. 309–313.</w:t>
      </w:r>
    </w:p>
    <w:p>
      <w:pPr>
        <w:pStyle w:val="17"/>
        <w:numPr>
          <w:ilvl w:val="0"/>
          <w:numId w:val="12"/>
        </w:numPr>
        <w:ind w:firstLineChars="0"/>
      </w:pPr>
      <w:r>
        <w:t>T. Unemi, “A design of genetic encoding for breeding short musical</w:t>
      </w:r>
      <w:r>
        <w:rPr>
          <w:rFonts w:hint="eastAsia"/>
        </w:rPr>
        <w:t xml:space="preserve"> </w:t>
      </w:r>
      <w:r>
        <w:t>pieces,” in Proc. Workshop Artif. Life Models Music. Appl. II Search</w:t>
      </w:r>
      <w:r>
        <w:rPr>
          <w:rFonts w:hint="eastAsia"/>
        </w:rPr>
        <w:t xml:space="preserve"> </w:t>
      </w:r>
      <w:r>
        <w:t>Music. Creativity, Sydney, NSW, Australia, 2002, pp. 25–29.</w:t>
      </w:r>
    </w:p>
    <w:p>
      <w:pPr>
        <w:pStyle w:val="17"/>
        <w:numPr>
          <w:ilvl w:val="0"/>
          <w:numId w:val="12"/>
        </w:numPr>
        <w:ind w:firstLineChars="0"/>
      </w:pPr>
      <w:r>
        <w:t>T. Unemi, “SBEAT3: A tool for multi-part music composition by</w:t>
      </w:r>
      <w:r>
        <w:rPr>
          <w:rFonts w:hint="eastAsia"/>
        </w:rPr>
        <w:t xml:space="preserve"> </w:t>
      </w:r>
      <w:r>
        <w:t>simulated breeding,” in Proc. 8th Int. Conf. Artif. Life, Cambridge, MA,</w:t>
      </w:r>
      <w:r>
        <w:rPr>
          <w:rFonts w:hint="eastAsia"/>
        </w:rPr>
        <w:t xml:space="preserve"> </w:t>
      </w:r>
      <w:r>
        <w:t>USA, 2003, pp. 410–413.</w:t>
      </w:r>
    </w:p>
    <w:p>
      <w:pPr>
        <w:pStyle w:val="17"/>
        <w:numPr>
          <w:ilvl w:val="0"/>
          <w:numId w:val="12"/>
        </w:numPr>
        <w:ind w:firstLineChars="0"/>
      </w:pPr>
      <w:r>
        <w:t>D. Ralley, “Genetic algorithms as a tool for melodic development,” in</w:t>
      </w:r>
      <w:r>
        <w:rPr>
          <w:rFonts w:hint="eastAsia"/>
        </w:rPr>
        <w:t xml:space="preserve"> </w:t>
      </w:r>
      <w:r>
        <w:t>Proc. Int. Comput. Music Conf., Banff, AB, Canada, 1995, pp. 501–502.</w:t>
      </w:r>
    </w:p>
    <w:p>
      <w:pPr>
        <w:pStyle w:val="17"/>
        <w:numPr>
          <w:ilvl w:val="0"/>
          <w:numId w:val="12"/>
        </w:numPr>
        <w:ind w:firstLineChars="0"/>
      </w:pPr>
      <w:r>
        <w:t>D. Cope, Experiments in Musical Intelligence (Computer Music and</w:t>
      </w:r>
      <w:r>
        <w:rPr>
          <w:rFonts w:hint="eastAsia"/>
        </w:rPr>
        <w:t xml:space="preserve"> </w:t>
      </w:r>
      <w:r>
        <w:t>Digital Audio Series 12). Madison, WI, USA: A-R Editions, 1996.</w:t>
      </w:r>
    </w:p>
    <w:p>
      <w:pPr>
        <w:pStyle w:val="17"/>
        <w:numPr>
          <w:ilvl w:val="0"/>
          <w:numId w:val="12"/>
        </w:numPr>
        <w:ind w:firstLineChars="0"/>
      </w:pPr>
      <w:r>
        <w:t>D. Cope, The Algorithmic Composer (Computer Music and Digital</w:t>
      </w:r>
      <w:r>
        <w:rPr>
          <w:rFonts w:hint="eastAsia"/>
        </w:rPr>
        <w:t xml:space="preserve"> </w:t>
      </w:r>
      <w:r>
        <w:t>Audio Series 16). Madison, WI, USA: A-R Editions, 2000.</w:t>
      </w:r>
    </w:p>
    <w:p>
      <w:pPr>
        <w:pStyle w:val="17"/>
        <w:numPr>
          <w:ilvl w:val="0"/>
          <w:numId w:val="12"/>
        </w:numPr>
        <w:ind w:firstLineChars="0"/>
      </w:pPr>
      <w:r>
        <w:t>D. Cope, Virtual Music: Computer Synthesis of Musical Style.</w:t>
      </w:r>
      <w:r>
        <w:rPr>
          <w:rFonts w:hint="eastAsia"/>
        </w:rPr>
        <w:t xml:space="preserve"> </w:t>
      </w:r>
      <w:r>
        <w:t>Cambridge, MA, USA: MIT Press, 2004.</w:t>
      </w:r>
    </w:p>
    <w:p>
      <w:pPr>
        <w:pStyle w:val="17"/>
        <w:numPr>
          <w:ilvl w:val="0"/>
          <w:numId w:val="12"/>
        </w:numPr>
        <w:ind w:firstLineChars="0"/>
      </w:pPr>
      <w:r>
        <w:t>G. Loy, Musimathics: The Mathematical Foundations of Music, vol. 1.Cambridge, MA, USA: MIT Press, 2006.</w:t>
      </w:r>
    </w:p>
    <w:p>
      <w:pPr>
        <w:pStyle w:val="17"/>
        <w:numPr>
          <w:ilvl w:val="0"/>
          <w:numId w:val="12"/>
        </w:numPr>
        <w:ind w:firstLineChars="0"/>
      </w:pPr>
      <w:r>
        <w:t>W. Piston and M. DeVoto, Harmony. New York, NY, USA:</w:t>
      </w:r>
      <w:r>
        <w:rPr>
          <w:rFonts w:hint="eastAsia"/>
        </w:rPr>
        <w:t xml:space="preserve"> </w:t>
      </w:r>
      <w:r>
        <w:t>Norton, 1987.</w:t>
      </w:r>
    </w:p>
    <w:p>
      <w:pPr>
        <w:pStyle w:val="17"/>
        <w:numPr>
          <w:ilvl w:val="0"/>
          <w:numId w:val="12"/>
        </w:numPr>
        <w:ind w:firstLineChars="0"/>
      </w:pPr>
      <w:r>
        <w:t>G. Acampora, J. M. Cadenas, V. Loia, and E. M. Ballester, “Achieving</w:t>
      </w:r>
      <w:r>
        <w:rPr>
          <w:rFonts w:hint="eastAsia"/>
        </w:rPr>
        <w:t xml:space="preserve"> </w:t>
      </w:r>
      <w:r>
        <w:t>memetic adaptability by means of agent-based machine learning,”</w:t>
      </w:r>
      <w:r>
        <w:rPr>
          <w:rFonts w:hint="eastAsia"/>
        </w:rPr>
        <w:t xml:space="preserve"> </w:t>
      </w:r>
      <w:r>
        <w:t>IEEE Trans. Ind. Informat., vol. 7, no. 4, pp. 557–569, Nov. 2011.</w:t>
      </w:r>
    </w:p>
    <w:p>
      <w:pPr>
        <w:pStyle w:val="17"/>
        <w:numPr>
          <w:ilvl w:val="0"/>
          <w:numId w:val="12"/>
        </w:numPr>
        <w:ind w:firstLineChars="0"/>
      </w:pPr>
      <w:r>
        <w:t>G. Acampora, J. M. Cadenas, V. Loia, and E. M. Ballester,</w:t>
      </w:r>
      <w:r>
        <w:rPr>
          <w:rFonts w:hint="eastAsia"/>
        </w:rPr>
        <w:t>“</w:t>
      </w:r>
      <w:r>
        <w:t>A multi-agent memetic system for human-based knowledge selection,”</w:t>
      </w:r>
      <w:r>
        <w:rPr>
          <w:rFonts w:hint="eastAsia"/>
        </w:rPr>
        <w:t xml:space="preserve"> </w:t>
      </w:r>
      <w:r>
        <w:t>IEEE Trans. Syst., Man, Cybern. A, Syst., Humans, vol. 41, no. 5,</w:t>
      </w:r>
      <w:r>
        <w:rPr>
          <w:rFonts w:hint="eastAsia"/>
        </w:rPr>
        <w:t xml:space="preserve"> </w:t>
      </w:r>
      <w:r>
        <w:t>pp. 946–960, Sep. 2011.</w:t>
      </w:r>
    </w:p>
    <w:p>
      <w:pPr>
        <w:pStyle w:val="17"/>
        <w:numPr>
          <w:ilvl w:val="0"/>
          <w:numId w:val="12"/>
        </w:numPr>
        <w:ind w:firstLineChars="0"/>
      </w:pPr>
      <w:r>
        <w:t>J. M. Cadenas, M. C. Garrido, and E. M. Ballester, “Using machine</w:t>
      </w:r>
      <w:r>
        <w:rPr>
          <w:rFonts w:hint="eastAsia"/>
        </w:rPr>
        <w:t xml:space="preserve"> </w:t>
      </w:r>
      <w:r>
        <w:t>learning in a cooperative hybrid parallel strategy of metaheuristics,”</w:t>
      </w:r>
      <w:r>
        <w:rPr>
          <w:rFonts w:hint="eastAsia"/>
        </w:rPr>
        <w:t xml:space="preserve"> </w:t>
      </w:r>
      <w:r>
        <w:t>Inf. Sci., vol. 179, no. 19, pp. 3255–3267, 2009.</w:t>
      </w:r>
    </w:p>
    <w:p>
      <w:pPr>
        <w:pStyle w:val="17"/>
        <w:numPr>
          <w:ilvl w:val="0"/>
          <w:numId w:val="12"/>
        </w:numPr>
        <w:ind w:firstLineChars="0"/>
      </w:pPr>
      <w:r>
        <w:t>P. P. Bonissone, J. M. Cadenas, M. C. Garrido, and</w:t>
      </w:r>
      <w:r>
        <w:rPr>
          <w:rFonts w:hint="eastAsia"/>
        </w:rPr>
        <w:t xml:space="preserve"> </w:t>
      </w:r>
      <w:r>
        <w:t>R. A. Díaz-Valladares, “A fuzzy random forest,” Int. J. Approx.</w:t>
      </w:r>
      <w:r>
        <w:rPr>
          <w:rFonts w:hint="eastAsia"/>
        </w:rPr>
        <w:t xml:space="preserve"> </w:t>
      </w:r>
      <w:r>
        <w:t>Reason., vol. 51, no. 7, pp. 729–747, 2010.</w:t>
      </w:r>
    </w:p>
    <w:p>
      <w:pPr>
        <w:pStyle w:val="17"/>
        <w:numPr>
          <w:ilvl w:val="0"/>
          <w:numId w:val="12"/>
        </w:numPr>
        <w:ind w:firstLineChars="0"/>
      </w:pPr>
      <w:r>
        <w:t>T. G. Crainic, M. Gendreau, P. Hansen, and N. Mladenovic, “Cooperative</w:t>
      </w:r>
      <w:r>
        <w:rPr>
          <w:rFonts w:hint="eastAsia"/>
        </w:rPr>
        <w:t xml:space="preserve"> </w:t>
      </w:r>
      <w:r>
        <w:t>parallel variable neighborhood search for the p-median,” J. Heuristics,</w:t>
      </w:r>
      <w:r>
        <w:rPr>
          <w:rFonts w:hint="eastAsia"/>
        </w:rPr>
        <w:t xml:space="preserve"> </w:t>
      </w:r>
      <w:r>
        <w:t>vol. 10, no. 3, pp. 293–314, 2004.</w:t>
      </w:r>
    </w:p>
    <w:p>
      <w:pPr>
        <w:pStyle w:val="17"/>
        <w:numPr>
          <w:ilvl w:val="0"/>
          <w:numId w:val="12"/>
        </w:numPr>
        <w:ind w:firstLineChars="0"/>
      </w:pPr>
      <w:r>
        <w:t>D. Henderson, S. H. Jacobson, and A. W. Johnson, “The theory and practice of simulated annealing,” in Handbook of Metaheuristics, F. Glover</w:t>
      </w:r>
      <w:r>
        <w:rPr>
          <w:rFonts w:hint="eastAsia"/>
        </w:rPr>
        <w:t xml:space="preserve"> </w:t>
      </w:r>
      <w:r>
        <w:t>and G. A. Kochenberger, Eds. Boston, MA, USA: Kluwer Academic,2003.</w:t>
      </w:r>
    </w:p>
    <w:p>
      <w:pPr>
        <w:pStyle w:val="17"/>
        <w:numPr>
          <w:ilvl w:val="0"/>
          <w:numId w:val="12"/>
        </w:numPr>
        <w:ind w:firstLineChars="0"/>
      </w:pPr>
      <w:r>
        <w:t>S. García, A. Fernández, J. Luengo, and F. Herrera, “A study statistical</w:t>
      </w:r>
      <w:r>
        <w:rPr>
          <w:rFonts w:hint="eastAsia"/>
        </w:rPr>
        <w:t xml:space="preserve"> </w:t>
      </w:r>
      <w:r>
        <w:t>of techniques and performance measures for genetics-based machine learning: Accuracy and interpretability,” Soft Comput., vol. 13, no. 10,pp. 959–977, 2009.</w:t>
      </w:r>
    </w:p>
    <w:p>
      <w:pPr>
        <w:pStyle w:val="17"/>
        <w:numPr>
          <w:ilvl w:val="0"/>
          <w:numId w:val="12"/>
        </w:numPr>
        <w:ind w:firstLineChars="0"/>
      </w:pPr>
      <w:r>
        <w:t>A. Globerson and T. Jaakkola, “Fixing max-product: Convergent</w:t>
      </w:r>
      <w:r>
        <w:rPr>
          <w:rFonts w:hint="eastAsia"/>
        </w:rPr>
        <w:t xml:space="preserve"> </w:t>
      </w:r>
      <w:r>
        <w:t>message passing algorithms for MAP LP-relaxations,” in Advances in</w:t>
      </w:r>
      <w:r>
        <w:rPr>
          <w:rFonts w:hint="eastAsia"/>
        </w:rPr>
        <w:t xml:space="preserve"> </w:t>
      </w:r>
      <w:r>
        <w:t>Neural Information Processing Systems. Cambridge, MA, USA: MIT</w:t>
      </w:r>
      <w:r>
        <w:rPr>
          <w:rFonts w:hint="eastAsia"/>
        </w:rPr>
        <w:t xml:space="preserve"> </w:t>
      </w:r>
      <w:r>
        <w:t>Press, 2007, pp. 553–560.</w:t>
      </w:r>
    </w:p>
    <w:p>
      <w:pPr>
        <w:pStyle w:val="17"/>
        <w:numPr>
          <w:ilvl w:val="0"/>
          <w:numId w:val="12"/>
        </w:numPr>
        <w:ind w:firstLineChars="0"/>
      </w:pPr>
      <w:r>
        <w:t>R. De Prisco and R. Zaccagnino, “An evolutionary music composer</w:t>
      </w:r>
      <w:r>
        <w:rPr>
          <w:rFonts w:hint="eastAsia"/>
        </w:rPr>
        <w:t xml:space="preserve">  </w:t>
      </w:r>
      <w:r>
        <w:t>algorithm for bass harmonization,” in Applications of Evolutionary</w:t>
      </w:r>
      <w:r>
        <w:rPr>
          <w:rFonts w:hint="eastAsia"/>
        </w:rPr>
        <w:t xml:space="preserve"> </w:t>
      </w:r>
      <w:r>
        <w:t>Computing (Lecture Notes in Computer Science), vol. 5484. Berlin,</w:t>
      </w:r>
      <w:r>
        <w:rPr>
          <w:rFonts w:hint="eastAsia"/>
        </w:rPr>
        <w:t xml:space="preserve"> </w:t>
      </w:r>
      <w:r>
        <w:t>Germany: Springer, 2009, pp. 567–572.</w:t>
      </w:r>
    </w:p>
    <w:p>
      <w:pPr>
        <w:pStyle w:val="17"/>
        <w:numPr>
          <w:ilvl w:val="0"/>
          <w:numId w:val="12"/>
        </w:numPr>
        <w:ind w:firstLineChars="0"/>
      </w:pPr>
      <w:r>
        <w:t>S. Kostka and D. Payne, Tonal Harmony With an Introduction to</w:t>
      </w:r>
      <w:r>
        <w:rPr>
          <w:rFonts w:hint="eastAsia"/>
        </w:rPr>
        <w:t xml:space="preserve"> </w:t>
      </w:r>
      <w:r>
        <w:t>Twentieth Century Music. New York, NY, USA: McGraw-Hill, 2008.</w:t>
      </w:r>
    </w:p>
    <w:sectPr>
      <w:type w:val="continuous"/>
      <w:pgSz w:w="11906" w:h="16838"/>
      <w:pgMar w:top="1440" w:right="1800" w:bottom="1440" w:left="1800" w:header="851" w:footer="992" w:gutter="0"/>
      <w:cols w:space="425" w:num="2"/>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楷体_GB2312">
    <w:altName w:val="楷体"/>
    <w:panose1 w:val="02010609030101010101"/>
    <w:charset w:val="86"/>
    <w:family w:val="modern"/>
    <w:pitch w:val="default"/>
    <w:sig w:usb0="00000000" w:usb1="00000000" w:usb2="00000010" w:usb3="00000000" w:csb0="00040000" w:csb1="00000000"/>
  </w:font>
  <w:font w:name="等线 Light">
    <w:altName w:val="宋体"/>
    <w:panose1 w:val="02010600030101010101"/>
    <w:charset w:val="86"/>
    <w:family w:val="auto"/>
    <w:pitch w:val="default"/>
    <w:sig w:usb0="00000000" w:usb1="00000000"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Cambria Math">
    <w:panose1 w:val="02040503050406030204"/>
    <w:charset w:val="00"/>
    <w:family w:val="roman"/>
    <w:pitch w:val="default"/>
    <w:sig w:usb0="E00002FF" w:usb1="420024FF" w:usb2="00000000" w:usb3="00000000" w:csb0="2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rPr>
        <w:rStyle w:val="10"/>
      </w:rPr>
    </w:pPr>
  </w:p>
  <w:p>
    <w:pPr>
      <w:pStyle w:val="6"/>
      <w:ind w:right="360"/>
      <w:jc w:val="center"/>
    </w:pPr>
    <w:r>
      <w:fldChar w:fldCharType="begin"/>
    </w:r>
    <w:r>
      <w:rPr>
        <w:rStyle w:val="10"/>
      </w:rPr>
      <w:instrText xml:space="preserve"> PAGE </w:instrText>
    </w:r>
    <w:r>
      <w:fldChar w:fldCharType="separate"/>
    </w:r>
    <w:r>
      <w:rPr>
        <w:rStyle w:val="10"/>
      </w:rPr>
      <w:t>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浙江工业大学本科毕业设计</w:t>
    </w:r>
    <w:r>
      <w:rPr>
        <w:rFonts w:hint="eastAsia"/>
        <w:lang w:eastAsia="zh-CN"/>
      </w:rPr>
      <w:t>外文翻译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27C"/>
    <w:multiLevelType w:val="multilevel"/>
    <w:tmpl w:val="06EC427C"/>
    <w:lvl w:ilvl="0" w:tentative="0">
      <w:start w:val="1"/>
      <w:numFmt w:val="decimal"/>
      <w:lvlText w:val="%1)"/>
      <w:lvlJc w:val="left"/>
      <w:pPr>
        <w:ind w:left="0" w:firstLine="0"/>
      </w:pPr>
      <w:rPr>
        <w:rFonts w:hint="eastAsia"/>
        <w:b w:val="0"/>
        <w:i/>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7E03AF0"/>
    <w:multiLevelType w:val="multilevel"/>
    <w:tmpl w:val="07E03A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D482774"/>
    <w:multiLevelType w:val="multilevel"/>
    <w:tmpl w:val="0D48277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0856631"/>
    <w:multiLevelType w:val="multilevel"/>
    <w:tmpl w:val="10856631"/>
    <w:lvl w:ilvl="0" w:tentative="0">
      <w:start w:val="1"/>
      <w:numFmt w:val="lowerLetter"/>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E625690"/>
    <w:multiLevelType w:val="multilevel"/>
    <w:tmpl w:val="1E62569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A3022A0"/>
    <w:multiLevelType w:val="multilevel"/>
    <w:tmpl w:val="2A3022A0"/>
    <w:lvl w:ilvl="0" w:tentative="0">
      <w:start w:val="1"/>
      <w:numFmt w:val="decimal"/>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31C63016"/>
    <w:multiLevelType w:val="multilevel"/>
    <w:tmpl w:val="31C63016"/>
    <w:lvl w:ilvl="0" w:tentative="0">
      <w:start w:val="1"/>
      <w:numFmt w:val="lowerLetter"/>
      <w:lvlText w:val="%1)"/>
      <w:lvlJc w:val="left"/>
      <w:pPr>
        <w:tabs>
          <w:tab w:val="left" w:pos="227"/>
        </w:tabs>
        <w:ind w:left="227" w:firstLine="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48143C0"/>
    <w:multiLevelType w:val="multilevel"/>
    <w:tmpl w:val="448143C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6BA751F"/>
    <w:multiLevelType w:val="multilevel"/>
    <w:tmpl w:val="56BA751F"/>
    <w:lvl w:ilvl="0" w:tentative="0">
      <w:start w:val="1"/>
      <w:numFmt w:val="decimal"/>
      <w:lvlText w:val="%1)"/>
      <w:lvlJc w:val="left"/>
      <w:pPr>
        <w:ind w:left="840" w:hanging="420"/>
      </w:pPr>
    </w:lvl>
    <w:lvl w:ilvl="1" w:tentative="0">
      <w:start w:val="1"/>
      <w:numFmt w:val="lowerLetter"/>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C086BAC"/>
    <w:multiLevelType w:val="multilevel"/>
    <w:tmpl w:val="5C086BA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68E13B9"/>
    <w:multiLevelType w:val="multilevel"/>
    <w:tmpl w:val="668E13B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74C5711B"/>
    <w:multiLevelType w:val="multilevel"/>
    <w:tmpl w:val="74C5711B"/>
    <w:lvl w:ilvl="0" w:tentative="0">
      <w:start w:val="1"/>
      <w:numFmt w:val="lowerLetter"/>
      <w:lvlText w:val="%1)"/>
      <w:lvlJc w:val="left"/>
      <w:pPr>
        <w:ind w:left="888" w:hanging="360"/>
      </w:pPr>
      <w:rPr>
        <w:rFonts w:hint="default"/>
      </w:rPr>
    </w:lvl>
    <w:lvl w:ilvl="1" w:tentative="0">
      <w:start w:val="1"/>
      <w:numFmt w:val="lowerLetter"/>
      <w:lvlText w:val="%2)"/>
      <w:lvlJc w:val="left"/>
      <w:pPr>
        <w:ind w:left="1368" w:hanging="420"/>
      </w:pPr>
    </w:lvl>
    <w:lvl w:ilvl="2" w:tentative="0">
      <w:start w:val="1"/>
      <w:numFmt w:val="lowerRoman"/>
      <w:lvlText w:val="%3."/>
      <w:lvlJc w:val="right"/>
      <w:pPr>
        <w:ind w:left="1788" w:hanging="420"/>
      </w:pPr>
    </w:lvl>
    <w:lvl w:ilvl="3" w:tentative="0">
      <w:start w:val="1"/>
      <w:numFmt w:val="decimal"/>
      <w:lvlText w:val="%4."/>
      <w:lvlJc w:val="left"/>
      <w:pPr>
        <w:ind w:left="2208" w:hanging="420"/>
      </w:pPr>
    </w:lvl>
    <w:lvl w:ilvl="4" w:tentative="0">
      <w:start w:val="1"/>
      <w:numFmt w:val="lowerLetter"/>
      <w:lvlText w:val="%5)"/>
      <w:lvlJc w:val="left"/>
      <w:pPr>
        <w:ind w:left="2628" w:hanging="420"/>
      </w:pPr>
    </w:lvl>
    <w:lvl w:ilvl="5" w:tentative="0">
      <w:start w:val="1"/>
      <w:numFmt w:val="lowerRoman"/>
      <w:lvlText w:val="%6."/>
      <w:lvlJc w:val="right"/>
      <w:pPr>
        <w:ind w:left="3048" w:hanging="420"/>
      </w:pPr>
    </w:lvl>
    <w:lvl w:ilvl="6" w:tentative="0">
      <w:start w:val="1"/>
      <w:numFmt w:val="decimal"/>
      <w:lvlText w:val="%7."/>
      <w:lvlJc w:val="left"/>
      <w:pPr>
        <w:ind w:left="3468" w:hanging="420"/>
      </w:pPr>
    </w:lvl>
    <w:lvl w:ilvl="7" w:tentative="0">
      <w:start w:val="1"/>
      <w:numFmt w:val="lowerLetter"/>
      <w:lvlText w:val="%8)"/>
      <w:lvlJc w:val="left"/>
      <w:pPr>
        <w:ind w:left="3888" w:hanging="420"/>
      </w:pPr>
    </w:lvl>
    <w:lvl w:ilvl="8" w:tentative="0">
      <w:start w:val="1"/>
      <w:numFmt w:val="lowerRoman"/>
      <w:lvlText w:val="%9."/>
      <w:lvlJc w:val="right"/>
      <w:pPr>
        <w:ind w:left="4308" w:hanging="420"/>
      </w:pPr>
    </w:lvl>
  </w:abstractNum>
  <w:num w:numId="1">
    <w:abstractNumId w:val="5"/>
  </w:num>
  <w:num w:numId="2">
    <w:abstractNumId w:val="11"/>
  </w:num>
  <w:num w:numId="3">
    <w:abstractNumId w:val="8"/>
  </w:num>
  <w:num w:numId="4">
    <w:abstractNumId w:val="10"/>
  </w:num>
  <w:num w:numId="5">
    <w:abstractNumId w:val="2"/>
  </w:num>
  <w:num w:numId="6">
    <w:abstractNumId w:val="9"/>
  </w:num>
  <w:num w:numId="7">
    <w:abstractNumId w:val="3"/>
  </w:num>
  <w:num w:numId="8">
    <w:abstractNumId w:val="6"/>
  </w:num>
  <w:num w:numId="9">
    <w:abstractNumId w:val="0"/>
  </w:num>
  <w:num w:numId="10">
    <w:abstractNumId w:val="4"/>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6D7"/>
    <w:rsid w:val="00031A60"/>
    <w:rsid w:val="00035EB5"/>
    <w:rsid w:val="00041EE0"/>
    <w:rsid w:val="0004315B"/>
    <w:rsid w:val="000820E7"/>
    <w:rsid w:val="000B3864"/>
    <w:rsid w:val="000D4828"/>
    <w:rsid w:val="000D6718"/>
    <w:rsid w:val="000E337F"/>
    <w:rsid w:val="001021A0"/>
    <w:rsid w:val="00107A61"/>
    <w:rsid w:val="0013011D"/>
    <w:rsid w:val="00163120"/>
    <w:rsid w:val="00187193"/>
    <w:rsid w:val="001A1EB8"/>
    <w:rsid w:val="001B7BD2"/>
    <w:rsid w:val="001C5AD5"/>
    <w:rsid w:val="001F1E6B"/>
    <w:rsid w:val="0020003D"/>
    <w:rsid w:val="0022429F"/>
    <w:rsid w:val="002354D4"/>
    <w:rsid w:val="002441D6"/>
    <w:rsid w:val="00261926"/>
    <w:rsid w:val="00281598"/>
    <w:rsid w:val="002B0825"/>
    <w:rsid w:val="002B3D25"/>
    <w:rsid w:val="002B44FB"/>
    <w:rsid w:val="002D32B0"/>
    <w:rsid w:val="002E766E"/>
    <w:rsid w:val="00322599"/>
    <w:rsid w:val="00331945"/>
    <w:rsid w:val="00344513"/>
    <w:rsid w:val="00350C91"/>
    <w:rsid w:val="0037397A"/>
    <w:rsid w:val="003A20F9"/>
    <w:rsid w:val="003A3AB2"/>
    <w:rsid w:val="003A3B6C"/>
    <w:rsid w:val="003D3B91"/>
    <w:rsid w:val="003D7E04"/>
    <w:rsid w:val="003E362F"/>
    <w:rsid w:val="00405BCE"/>
    <w:rsid w:val="004155C4"/>
    <w:rsid w:val="00415692"/>
    <w:rsid w:val="00423341"/>
    <w:rsid w:val="00460C16"/>
    <w:rsid w:val="00484EA3"/>
    <w:rsid w:val="00516653"/>
    <w:rsid w:val="00524F07"/>
    <w:rsid w:val="005720E0"/>
    <w:rsid w:val="005822A5"/>
    <w:rsid w:val="0058541F"/>
    <w:rsid w:val="00590D5B"/>
    <w:rsid w:val="005A2F6E"/>
    <w:rsid w:val="005C4A8F"/>
    <w:rsid w:val="005D1903"/>
    <w:rsid w:val="005D5C8E"/>
    <w:rsid w:val="00610336"/>
    <w:rsid w:val="00643CD7"/>
    <w:rsid w:val="00647ED4"/>
    <w:rsid w:val="00661F65"/>
    <w:rsid w:val="00665AC0"/>
    <w:rsid w:val="00675B1C"/>
    <w:rsid w:val="00685E02"/>
    <w:rsid w:val="006A0136"/>
    <w:rsid w:val="006B6B48"/>
    <w:rsid w:val="006C1509"/>
    <w:rsid w:val="006F08C4"/>
    <w:rsid w:val="007067A9"/>
    <w:rsid w:val="00733127"/>
    <w:rsid w:val="00735328"/>
    <w:rsid w:val="007654FC"/>
    <w:rsid w:val="007836E1"/>
    <w:rsid w:val="00784B31"/>
    <w:rsid w:val="007C3388"/>
    <w:rsid w:val="007D2B91"/>
    <w:rsid w:val="007D4AF1"/>
    <w:rsid w:val="007D7EE5"/>
    <w:rsid w:val="007F1973"/>
    <w:rsid w:val="007F5DB8"/>
    <w:rsid w:val="0081644A"/>
    <w:rsid w:val="008376D7"/>
    <w:rsid w:val="00843810"/>
    <w:rsid w:val="00873D13"/>
    <w:rsid w:val="00885A69"/>
    <w:rsid w:val="00891AEE"/>
    <w:rsid w:val="008A083C"/>
    <w:rsid w:val="008A7BDE"/>
    <w:rsid w:val="008F16B4"/>
    <w:rsid w:val="00904FD5"/>
    <w:rsid w:val="009258A1"/>
    <w:rsid w:val="0093225C"/>
    <w:rsid w:val="009550F2"/>
    <w:rsid w:val="00972F07"/>
    <w:rsid w:val="00974925"/>
    <w:rsid w:val="00987952"/>
    <w:rsid w:val="00991ED9"/>
    <w:rsid w:val="009C4A58"/>
    <w:rsid w:val="00A92F67"/>
    <w:rsid w:val="00AD0638"/>
    <w:rsid w:val="00AD4275"/>
    <w:rsid w:val="00B11821"/>
    <w:rsid w:val="00B235F4"/>
    <w:rsid w:val="00B66F88"/>
    <w:rsid w:val="00B97D70"/>
    <w:rsid w:val="00BC714B"/>
    <w:rsid w:val="00BF1BB4"/>
    <w:rsid w:val="00C119BA"/>
    <w:rsid w:val="00C21B55"/>
    <w:rsid w:val="00C23443"/>
    <w:rsid w:val="00C72A56"/>
    <w:rsid w:val="00C86796"/>
    <w:rsid w:val="00CA7C09"/>
    <w:rsid w:val="00CB54F5"/>
    <w:rsid w:val="00CC04D7"/>
    <w:rsid w:val="00CF64A1"/>
    <w:rsid w:val="00D004AA"/>
    <w:rsid w:val="00D11E42"/>
    <w:rsid w:val="00D600FF"/>
    <w:rsid w:val="00D76932"/>
    <w:rsid w:val="00D97821"/>
    <w:rsid w:val="00DA2C09"/>
    <w:rsid w:val="00DE2578"/>
    <w:rsid w:val="00DF0DBA"/>
    <w:rsid w:val="00E20C3D"/>
    <w:rsid w:val="00E2506C"/>
    <w:rsid w:val="00E703E2"/>
    <w:rsid w:val="00E75D4A"/>
    <w:rsid w:val="00E935EE"/>
    <w:rsid w:val="00EC77E0"/>
    <w:rsid w:val="00F41D47"/>
    <w:rsid w:val="00F423AD"/>
    <w:rsid w:val="00F834EF"/>
    <w:rsid w:val="00FB0467"/>
    <w:rsid w:val="00FB37EF"/>
    <w:rsid w:val="00FC2292"/>
    <w:rsid w:val="00FF0910"/>
    <w:rsid w:val="00FF6993"/>
    <w:rsid w:val="033B592D"/>
    <w:rsid w:val="27EB4802"/>
    <w:rsid w:val="62A315C6"/>
    <w:rsid w:val="7504569F"/>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76" w:lineRule="auto"/>
      <w:ind w:firstLine="200" w:firstLineChars="200"/>
      <w:jc w:val="both"/>
    </w:pPr>
    <w:rPr>
      <w:rFonts w:ascii="Times New Roman" w:hAnsi="Times New Roman" w:eastAsia="楷体_GB2312" w:cstheme="minorBidi"/>
      <w:kern w:val="2"/>
      <w:sz w:val="21"/>
      <w:szCs w:val="22"/>
      <w:lang w:val="en-US" w:eastAsia="zh-CN" w:bidi="ar-SA"/>
    </w:rPr>
  </w:style>
  <w:style w:type="paragraph" w:styleId="2">
    <w:name w:val="heading 1"/>
    <w:basedOn w:val="1"/>
    <w:next w:val="1"/>
    <w:link w:val="16"/>
    <w:qFormat/>
    <w:uiPriority w:val="9"/>
    <w:pPr>
      <w:adjustRightInd w:val="0"/>
      <w:spacing w:before="340" w:after="330" w:line="578" w:lineRule="auto"/>
      <w:ind w:firstLine="0" w:firstLineChars="0"/>
      <w:jc w:val="center"/>
      <w:outlineLvl w:val="0"/>
    </w:pPr>
    <w:rPr>
      <w:b/>
      <w:bCs/>
      <w:kern w:val="44"/>
      <w:sz w:val="44"/>
      <w:szCs w:val="44"/>
    </w:rPr>
  </w:style>
  <w:style w:type="paragraph" w:styleId="3">
    <w:name w:val="heading 2"/>
    <w:basedOn w:val="1"/>
    <w:next w:val="1"/>
    <w:link w:val="14"/>
    <w:unhideWhenUsed/>
    <w:qFormat/>
    <w:uiPriority w:val="9"/>
    <w:pPr>
      <w:adjustRightInd w:val="0"/>
      <w:spacing w:before="260" w:after="260" w:line="240" w:lineRule="auto"/>
      <w:ind w:firstLine="0" w:firstLineChars="0"/>
      <w:jc w:val="center"/>
      <w:outlineLvl w:val="1"/>
    </w:pPr>
    <w:rPr>
      <w:rFonts w:cstheme="majorBidi"/>
      <w:b/>
      <w:bCs/>
      <w:sz w:val="28"/>
      <w:szCs w:val="32"/>
    </w:rPr>
  </w:style>
  <w:style w:type="paragraph" w:styleId="4">
    <w:name w:val="heading 3"/>
    <w:basedOn w:val="1"/>
    <w:next w:val="1"/>
    <w:link w:val="15"/>
    <w:unhideWhenUsed/>
    <w:qFormat/>
    <w:uiPriority w:val="9"/>
    <w:pPr>
      <w:spacing w:before="260" w:after="260" w:line="240" w:lineRule="auto"/>
      <w:ind w:firstLine="0" w:firstLineChars="0"/>
      <w:outlineLvl w:val="2"/>
    </w:pPr>
    <w:rPr>
      <w:bCs/>
      <w:i/>
      <w:sz w:val="24"/>
      <w:szCs w:val="32"/>
    </w:rPr>
  </w:style>
  <w:style w:type="character" w:default="1" w:styleId="9">
    <w:name w:val="Default Paragraph Font"/>
    <w:unhideWhenUsed/>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footer"/>
    <w:basedOn w:val="1"/>
    <w:unhideWhenUsed/>
    <w:qFormat/>
    <w:uiPriority w:val="99"/>
    <w:pPr>
      <w:tabs>
        <w:tab w:val="center" w:pos="4153"/>
        <w:tab w:val="right" w:pos="8306"/>
      </w:tabs>
      <w:snapToGrid w:val="0"/>
      <w:jc w:val="left"/>
    </w:pPr>
    <w:rPr>
      <w:rFonts w:ascii="等线" w:hAnsi="等线" w:eastAsia="等线" w:cs="Times New Roman"/>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rFonts w:ascii="等线" w:hAnsi="等线" w:eastAsia="等线" w:cs="Times New Roman"/>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page number"/>
    <w:basedOn w:val="9"/>
    <w:unhideWhenUsed/>
    <w:qFormat/>
    <w:uiPriority w:val="99"/>
  </w:style>
  <w:style w:type="character" w:styleId="11">
    <w:name w:val="Emphasis"/>
    <w:basedOn w:val="9"/>
    <w:qFormat/>
    <w:uiPriority w:val="20"/>
    <w:rPr>
      <w:i/>
      <w:iCs/>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标题 2 字符"/>
    <w:basedOn w:val="9"/>
    <w:link w:val="3"/>
    <w:qFormat/>
    <w:uiPriority w:val="9"/>
    <w:rPr>
      <w:rFonts w:ascii="Times New Roman" w:hAnsi="Times New Roman" w:eastAsia="楷体_GB2312" w:cstheme="majorBidi"/>
      <w:b/>
      <w:bCs/>
      <w:sz w:val="28"/>
      <w:szCs w:val="32"/>
    </w:rPr>
  </w:style>
  <w:style w:type="character" w:customStyle="1" w:styleId="15">
    <w:name w:val="标题 3 字符"/>
    <w:basedOn w:val="9"/>
    <w:link w:val="4"/>
    <w:qFormat/>
    <w:uiPriority w:val="9"/>
    <w:rPr>
      <w:rFonts w:ascii="Times New Roman" w:hAnsi="Times New Roman" w:eastAsia="楷体_GB2312"/>
      <w:bCs/>
      <w:i/>
      <w:sz w:val="24"/>
      <w:szCs w:val="32"/>
    </w:rPr>
  </w:style>
  <w:style w:type="character" w:customStyle="1" w:styleId="16">
    <w:name w:val="标题 1 字符"/>
    <w:basedOn w:val="9"/>
    <w:link w:val="2"/>
    <w:qFormat/>
    <w:uiPriority w:val="9"/>
    <w:rPr>
      <w:rFonts w:ascii="Times New Roman" w:hAnsi="Times New Roman" w:eastAsia="楷体_GB2312"/>
      <w:b/>
      <w:bCs/>
      <w:kern w:val="44"/>
      <w:sz w:val="44"/>
      <w:szCs w:val="44"/>
    </w:rPr>
  </w:style>
  <w:style w:type="paragraph" w:customStyle="1" w:styleId="17">
    <w:name w:val="List Paragraph"/>
    <w:basedOn w:val="1"/>
    <w:qFormat/>
    <w:uiPriority w:val="34"/>
    <w:pPr>
      <w:ind w:firstLine="420"/>
    </w:pPr>
  </w:style>
  <w:style w:type="character" w:customStyle="1" w:styleId="18">
    <w:name w:val="Placeholder Text"/>
    <w:basedOn w:val="9"/>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A48DAE-B743-45F4-B4C9-CCCF5B7159AF}">
  <ds:schemaRefs/>
</ds:datastoreItem>
</file>

<file path=docProps/app.xml><?xml version="1.0" encoding="utf-8"?>
<Properties xmlns="http://schemas.openxmlformats.org/officeDocument/2006/extended-properties" xmlns:vt="http://schemas.openxmlformats.org/officeDocument/2006/docPropsVTypes">
  <Template>Normal.dotm</Template>
  <Pages>18</Pages>
  <Words>3341</Words>
  <Characters>19047</Characters>
  <Lines>158</Lines>
  <Paragraphs>44</Paragraphs>
  <ScaleCrop>false</ScaleCrop>
  <LinksUpToDate>false</LinksUpToDate>
  <CharactersWithSpaces>22344</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2017-02-14T06:05:00Z</dcterms:created>
  <dc:creator>pigyoungpig@outlook.com</dc:creator>
  <cp:lastModifiedBy>kissg</cp:lastModifiedBy>
  <dcterms:modified xsi:type="dcterms:W3CDTF">2017-03-01T02:31:19Z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