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color w:val="1a252c"/>
        </w:rPr>
      </w:pPr>
      <w:r w:rsidDel="00000000" w:rsidR="00000000" w:rsidRPr="00000000">
        <w:rPr>
          <w:rFonts w:ascii="Arial" w:cs="Arial" w:eastAsia="Arial" w:hAnsi="Arial"/>
          <w:color w:val="1a252c"/>
          <w:rtl w:val="0"/>
        </w:rPr>
        <w:t xml:space="preserve">MANUAL TÉCNICO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rFonts w:ascii="Arial" w:cs="Arial" w:eastAsia="Arial" w:hAnsi="Arial"/>
          <w:color w:val="c0392b"/>
        </w:rPr>
      </w:pPr>
      <w:r w:rsidDel="00000000" w:rsidR="00000000" w:rsidRPr="00000000">
        <w:rPr>
          <w:rFonts w:ascii="Arial" w:cs="Arial" w:eastAsia="Arial" w:hAnsi="Arial"/>
          <w:color w:val="c0392b"/>
          <w:rtl w:val="0"/>
        </w:rPr>
        <w:t xml:space="preserve">FitManager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Arquitectura, desarrollo, despliegue y estándares de calidad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Dato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Información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FitManager - plataforma web y móvil para gestión de gimnasio (powerlifting y entrenamiento)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Programa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Tecnólogo ADSO - SENA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Elaborado por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Kevin Andres Turizo Tamara y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Dylan Alessandro Vera Peñuela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Fecha de actualización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Septiembre de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Tecnologías Principales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1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NetBeans 20, MySQL Workbench 8.0.44, Azure, Flutter, JUnit, Selenium, Jmeter y TestNG</w:t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1. Propósito y alcance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manual describe la construcción técnica y los estándares de calidad de FitManager, un sistema de gestión de gimnasio enfocado en powerlifting y rendimiento deportivo. La plataforma facilita el registro e inicio de sesión de usuarios, control de membresías, y administración de rutinas y equipos. Está dirigido a desarrolladores, instructores y responsables de mantenimiento y control de calidad.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2. Repositorio y estado de entrega</w:t>
      </w:r>
    </w:p>
    <w:tbl>
      <w:tblPr>
        <w:tblStyle w:val="Table2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Elemento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Estado verificado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Entorno de desarrollo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NetBeans 20 con JDK 1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(Proyecto basado en Ant/Maven)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Base de datos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MySQL Workbench 8.0.44 (Servidor MySQL en Azure)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Despliegue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Azure App Service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fitmanager-ehhvewe6c9aubbe8.centralus-01.azurewebsites.net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Rama de despliegue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main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3. Arquitectura de la solución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solución se estructura en una arquitectura multicapa sólida. El backend se desarrolla en Java 1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utilizando Servlets/JSP para la versión web y exponiendo servicios para la aplicación móvil construida con Flutter. La persistencia de datos se maneja a través de una base de datos MySQL desplegada en Azure, administrada localmente con MySQL Workbench 8.0.44. Esta estructura garantiza escalabilidad y consistencia tanto en la web como en dispositivos móviles.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4. Patrón de diseño utilizado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implementa el patrón Modelo-Vista-Controlador (MVC). En el entorno web, las páginas (Vista) envían peticiones a los Servlets (Controlador), los cuales interactúan con las clases DAO (Modelo) para ejecutar operaciones en la base de datos.</w:t>
      </w:r>
    </w:p>
    <w:tbl>
      <w:tblPr>
        <w:tblStyle w:val="Table3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Capa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Ubicación / Módulo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Responsabilidad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(Web / Móvil)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JSP / HTML / CSS / App Flutter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Renderiza las interfaces de usuario. En la web se enfoca en un diseño adaptativo con carruseles multimedia y paneles de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Controlador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Servlets en NetBeans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Recibe peticiones HTTP, gestiona sesiones (ej. /InicioSesionServlet) y valida los datos de entrada de los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Clases DAO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Centraliza las conexiones JDBC y la ejecución de sentencias SQL preparadas hacia la base de datos en Azure.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5. Tecnologías y herramientas</w:t>
      </w:r>
    </w:p>
    <w:tbl>
      <w:tblPr>
        <w:tblStyle w:val="Table4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Versión / Herramienta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Uso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Backend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1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(JDK 1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Lógica de negocio y controladores desarrollados en NetBeans 20.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Frontend Móvil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Flutter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Desarrollo de la interfaz móvil multiplataforma.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de Datos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 8.0.44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Persistencia de datos, gestionada con MySQL Workbench.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Infraestructura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Azure App Service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Hosting de la base de datos y despliegue del aplicativo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Unitarias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JUnit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de caja blanca de la lógica interna (ej. ValidadorRegistro).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Pruebas E2E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Selenium &amp; TestNG (Maven)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Automatización funcional de flujos críticos (ej. Login en Chrome).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de Carga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JMeter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Simulación de concurrencia y estrés en los endpoints del servidor en Azure.</w:t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6. Estándar de codificación y aseguramiento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Java:</w:t>
      </w:r>
      <w:r w:rsidDel="00000000" w:rsidR="00000000" w:rsidRPr="00000000">
        <w:rPr>
          <w:rFonts w:ascii="Arial" w:cs="Arial" w:eastAsia="Arial" w:hAnsi="Arial"/>
          <w:rtl w:val="0"/>
        </w:rPr>
        <w:t xml:space="preserve"> Uso estricto de camelCase para variables/métodos y PascalCase para clases. Los archivos deben estar codificados en UTF-8.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utiliza obligatoriamente PreparedStatement para todas las consultas JDBC, previniendo inyección SQL.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Internas: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clases que centralizan reglas de validación (como el formato del correo, longitud de la contraseña, o documentos de identidad) se evalúan con JUnit para garantizar un 100% de cobertura en los caminos válidos e inválidos.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6.1 Ejemplo: Validación de Registro (Caja Blanca)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Consolas" w:cs="Consolas" w:eastAsia="Consolas" w:hAnsi="Consolas"/>
          <w:shd w:fill="ecf0f1" w:val="clear"/>
        </w:rPr>
      </w:pPr>
      <w:r w:rsidDel="00000000" w:rsidR="00000000" w:rsidRPr="00000000">
        <w:rPr>
          <w:rFonts w:ascii="Consolas" w:cs="Consolas" w:eastAsia="Consolas" w:hAnsi="Consolas"/>
          <w:shd w:fill="ecf0f1" w:val="clear"/>
          <w:rtl w:val="0"/>
        </w:rPr>
        <w:t xml:space="preserve">public boolean validarEmail(String email) {</w:t>
        <w:br w:type="textWrapping"/>
        <w:t xml:space="preserve">    if (email == null || email.trim().isEmpty()) return false;</w:t>
        <w:br w:type="textWrapping"/>
        <w:t xml:space="preserve">    return email.contains("@");</w:t>
        <w:br w:type="textWrapping"/>
        <w:t xml:space="preserve">}</w:t>
        <w:br w:type="textWrapping"/>
        <w:t xml:space="preserve">// Evaluación en JUnit asegura que rechace nulos, vacíos y correos sin @.</w:t>
        <w:br w:type="textWrapping"/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nsolas" w:cs="Consolas" w:eastAsia="Consolas" w:hAnsi="Consolas"/>
          <w:shd w:fill="ecf0f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7. Estándar de base de datos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emplea codificación utf8mb4. Las tablas utilizan minúsculas y formato </w:t>
      </w:r>
      <w:r w:rsidDel="00000000" w:rsidR="00000000" w:rsidRPr="00000000">
        <w:rPr>
          <w:rFonts w:ascii="Arial" w:cs="Arial" w:eastAsia="Arial" w:hAnsi="Arial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rtl w:val="0"/>
        </w:rPr>
        <w:t xml:space="preserve">, reflejando una estructura sólida para manejar usuarios y rutinas.</w:t>
      </w:r>
    </w:p>
    <w:tbl>
      <w:tblPr>
        <w:tblStyle w:val="Table5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Tabla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Llave primaria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Responsabilidad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(INT AUTO_INCREMENT)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Datos de acceso, roles (ej. cliente, administrador) y membresías.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clases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 (INT AUTO_INCREMENT)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Horarios (TIME) y gestión de cupos para entrenamiento.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rutinas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(INT AUTO_INCREMENT)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Asignación de máquinas y peso para powerlifting.</w:t>
            </w:r>
          </w:p>
        </w:tc>
      </w:tr>
    </w:tbl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8. Seguridad, Pruebas y Despliegue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Seguridad y Sesiones: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Validación estricta de sesiones en los Servlets (usando HTTP Cookie Manager en las simulaciones). Manejo robusto contra concurrencia.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Funcionales: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Uso de un proyecto paralelo con Maven para integrar Selenium WebDriver y TestNG, evaluando caminos positivos (redirección al panel del cliente) y negativos (rechazo con credenciales falsas).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de Rendimiento: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Uso de JMeter configurado con un Thread Group apuntando a /InicioSesionServlet. El sistema ha demostrado mantener un 0% de error incluso escalando a 100 usuarios concurrentes iniciando sesion 2 veces</w:t>
      </w:r>
      <w:r w:rsidDel="00000000" w:rsidR="00000000" w:rsidRPr="00000000">
        <w:rPr>
          <w:rtl w:val="0"/>
        </w:rPr>
        <w:t xml:space="preserve"> en 5 segundos</w:t>
      </w:r>
      <w:r w:rsidDel="00000000" w:rsidR="00000000" w:rsidRPr="00000000">
        <w:rPr>
          <w:rFonts w:ascii="Arial" w:cs="Arial" w:eastAsia="Arial" w:hAnsi="Arial"/>
          <w:rtl w:val="0"/>
        </w:rPr>
        <w:t xml:space="preserve">, aunque el tiempo de respuesta incremente bajo carga máxima.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Despliegue: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proyecto compilado en NetBeans 20 se despliega en Azure App Service, conectándose a la instancia de base de datos MySQL en la nube.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9. Procedimiento de mantenimiento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y probar cambios en NetBeans 20 y ejecutar scripts locales de base de datos mediante MySQL Workbench 8.0.44.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Correr la suite de pruebas unitarias (JUnit) para asegurar la integridad lógica tras cualquier cambio en los validadores.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Ejecutar pruebas automatizadas (Selenium/TestNG) para validar flujos de usuario antes de un paso a producción.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Verificar métricas de rendimiento con JMeter ante implementaciones de nuevas funcionalidades para evitar saturación en Azure.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10. Referencias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oficial de Java SE 17.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de Apache NetBeans 20.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Guías de MySQL Workbench y Azure App Service.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de frameworks de pruebas: JUnit 4/5, Selenium, T</w:t>
      </w:r>
      <w:r w:rsidDel="00000000" w:rsidR="00000000" w:rsidRPr="00000000">
        <w:rPr>
          <w:rtl w:val="0"/>
        </w:rPr>
        <w:t xml:space="preserve">estNg,</w:t>
      </w:r>
      <w:r w:rsidDel="00000000" w:rsidR="00000000" w:rsidRPr="00000000">
        <w:rPr>
          <w:rFonts w:ascii="Arial" w:cs="Arial" w:eastAsia="Arial" w:hAnsi="Arial"/>
          <w:rtl w:val="0"/>
        </w:rPr>
        <w:t xml:space="preserve"> WebDriver y Apache JMeter.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fitmanager-ehhvewe6c9aubbe8.centralus-01.azurewebsite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