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B32232"/>
          <w:sz w:val="40"/>
          <w:szCs w:val="40"/>
        </w:rPr>
        <w:t xml:space="preserve">ESPECIFICACIÓN DE REQUISITOS DE SOFTWARE (SRS)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Sistema de Gestión Integral para Gimnasios: FitManager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Norma de referencia: IEEE Std 830-1998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Servicio Nacional de Aprendizaje (SENA)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Programa Tecnólogo en Análisis y Desarrollo de Software (ADSO)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FitManager (Soporte operativo para Taurus GYM)</w:t>
            </w:r>
          </w:p>
        </w:tc>
      </w:tr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Líder de Desarrollo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Kevin Andres Turizo Tamara</w:t>
            </w:r>
          </w:p>
        </w:tc>
      </w:tr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Desarrollador Asociado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Dylan Alessandro Vera Peñuela</w:t>
            </w:r>
          </w:p>
        </w:tc>
      </w:tr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Instructora Evaluadora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María del Pilar Bonilla Moreno</w:t>
            </w:r>
          </w:p>
        </w:tc>
      </w:tr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de Publicación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Septiembre de 2026</w:t>
            </w:r>
          </w:p>
        </w:tc>
      </w:tr>
      <w:t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4.0 (Documento Integral Definitivo SENA &amp; IEEE 830)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Tabla de 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1. Control de Versiones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800"/>
        <w:gridCol w:w="3700"/>
      </w:tblGrid>
      <w:tr>
        <w:trPr>
          <w:tblHeader/>
        </w:trPr>
        <w:tc>
          <w:tcPr>
            <w:tcW w:type="dxa" w:w="13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Autor(es)</w:t>
            </w:r>
          </w:p>
        </w:tc>
        <w:tc>
          <w:tcPr>
            <w:tcW w:type="dxa" w:w="3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de la Modificación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03/09/2026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Kevin Turizo / Dylan Vera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Estructura base inicial conforme a la norma IEEE 830.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V2.0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03/09/2026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Kevin Turizo / Dylan Vera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Rediseño visual (Esquema Rojo/Gris/Negro) e inclusión de Historias de Usuario.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V3.0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03/09/2026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Kevin Turizo / Dylan Vera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Adaptación de diagramas UML de Casos de Uso (flujo secuencial por procesos) y Diagrama de Clases por Paquetes.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V4.0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03/09/2026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Kevin Turizo / Dylan Vera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Consolidación total e integral de todos los requerimientos técnicos y analíticos del proyecto.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FitManager surge como respuesta a la necesidad de automatizar y centralizar los procesos administrativos y operativos en los centros de acondicionamiento físico, específicamente orientándose al modelo de rendimiento y powerlifting aplicado en Taurus GYM. La gestión tradicional basada en registros físicos o herramientas desconectadas propicia errores en el control de ingresos por membresías, pérdida de trazabilidad en las finanzas y falta de seguimiento estructurado del progreso físico de los atletas.</w:t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3. Propósito del Documento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presente documento tiene como propósito establecer la Especificación de Requisitos de Software (SRS) formal para FitManager, sirviendo como contrato técnico y guía metodológica para el equipo de desarrollo, analistas de calidad (QA) y los instructores evaluadores del SENA. Define de manera detallada el alcance, los requerimientos funcionales y no funcionales, reglas de negocio, modelos de datos y restricciones del sistema.</w:t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4. Alcance del Sistema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Qué hace el sistema: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 el ciclo de vida del cliente dentro del gimnasio, desde su registro y pago, hasta su asistencia y progreso físico.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Procesos que cubre: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Autenticación, ventas (membresías y productos físicos), control de acceso y agendamiento de clases.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Usuarios que lo utilizarán: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Administradores (Staff del gimnasio) y Clientes.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Fuera del alcance: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 esta primera fase, no se incluye la integración con hardware de torniquetes biométricos ni facturación electrónica oficial ante la DIAN, manejándose únicamente facturación interna (POS).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5. Descripción General del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FitManager es una aplicación web multicapa. Los clientes interactúan mediante una interfaz web responsive para consultar sus rutinas y pagos. Los administradores disponen de un Dashboard para facturar, gestionar el inventario de productos (ej. suplementos, botellas de agua) y validar ingresos. Todo opera en un ambiente Cloud en Azure App Service, utilizando el motor relacional MySQL 8.0.</w:t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6. Stakeholders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2600"/>
        <w:gridCol w:w="120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1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Participación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Propietario / Gerente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Dueño de Taurus GYM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Maximizar ingresos y control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Aprobar el sistema y métricas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Líder de Desarrollo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Kevin Turizo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Cumplimiento del proyecto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Diseñar, codificar y liderar arquitectura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Desarrollador Asociado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Dylan Vera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Implementación de módulos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Codificación y pruebas de calidad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Instructora SENA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María del Pilar Bonilla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Evaluación académica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Supervisar el estándar ADSO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7. Actores del Sistema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Administrador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Personal operativo del gimnasio.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Responsabilidades: Registrar pagos, crear clientes, asignar rutinas, facturar suplementos.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Permisos principales: CRUD total sobre usuarios, clases y facturación.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Cliente / Atleta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Usuario recurrente del gimnasio.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Responsabilidades: Mantener su membresía al día y registrar asistencia.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Permisos principales: Solo lectura sobre su estado de cuenta, plan de entrenamiento y visualización de historial de pagos.</w:t>
      </w:r>
    </w:p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8. Requisitos Funcionales</w:t>
      </w:r>
    </w:p>
    <w:p>
      <w:pPr>
        <w:shd w:fill="B32232" w:val="clear"/>
        <w:spacing w:after="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RF-001 — Autenticación de Usuarios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Valida las credenciales de ingreso al sistema.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Email y Contraseña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Proceso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Compara el hash de la clave con el registro en la BD.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Salida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Panel de control o mensaje de error.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Usuario previamente registrado.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Sesión HTTP activa.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Prioridad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Criterios de Aceptación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Aprobación exitosa en pruebas automatizadas con Selenium + TestNG.</w:t>
            </w:r>
          </w:p>
        </w:tc>
      </w:tr>
    </w:tbl>
    <w:p>
      <w:pPr>
        <w:spacing w:after="200"/>
      </w:pPr>
    </w:p>
    <w:p>
      <w:pPr>
        <w:shd w:fill="B32232" w:val="clear"/>
        <w:spacing w:after="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RF-002 — Registro de Clientes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Permite dar de alta a nuevos socios en el sistema.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Datos personales, documento, correo, plan.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Proceso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Valida la estructura mediante JUnit y almacena en la tabla usuarios.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Salida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Confirmación de registro exitoso.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Sesión de administrador activa.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Nuevo registro persistido en BD.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Prioridad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Criterios de Aceptación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Cero duplicidad de correos y documentos registrados.</w:t>
            </w:r>
          </w:p>
        </w:tc>
      </w:tr>
    </w:tbl>
    <w:p>
      <w:pPr>
        <w:spacing w:after="200"/>
      </w:pPr>
    </w:p>
    <w:p>
      <w:pPr>
        <w:shd w:fill="B32232" w:val="clear"/>
        <w:spacing w:after="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RF-003 — Control de Asistencia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Registra el ingreso diario del socio al gimnasio.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Cliente / Admin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 de Usuario / Documento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Proceso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Verifica si la fecha actual es menor o igual al campo vencimiento.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Salida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Mensaje de acceso concedido (Verde) o denegado (Rojo).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Membresía vigente.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Inserción en la tabla asistencias.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Prioridad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Criterios de Aceptación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Bloqueo absoluto si la membresía ha expirado.</w:t>
            </w:r>
          </w:p>
        </w:tc>
      </w:tr>
    </w:tbl>
    <w:p>
      <w:pPr>
        <w:spacing w:after="200"/>
      </w:pPr>
    </w:p>
    <w:p>
      <w:pPr>
        <w:shd w:fill="B32232" w:val="clear"/>
        <w:spacing w:after="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RF-004 — Facturación de Membresías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 la factura de compra o renovación de un plan.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 de Usuario, ID de Membresía, Método de pago.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Proceso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Crea cabecera y detalle de factura y actualiza la fecha de vencimiento.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Salida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Factura generada en pantalla.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Usuario activo en el sistema.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Actualización de vigencia del cliente.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Prioridad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Criterios de Aceptación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Cálculo correcto del valor total según el plan seleccionado.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9. Requisitos No Funcionales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RNF-001 (Rendimiento):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endpoint de validación de inicio de sesión (/InicioSesionServlet) debe soportar una concurrencia de 100 usuarios simultáneos manteniendo una tasa de error del 0% (validado mediante Apache JMeter).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RNF-002 (Seguridad):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Las contraseñas deben almacenarse de forma irreversible aplicando funciones hash (BCrypt / PBKDF2). Todas las consultas SQL deben gestionarse exclusivamente mediante PreparedStatement para prevenir ataques de inyección SQL.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RNF-003 (Disponibilidad):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 plataforma debe operar sobre la infraestructura Cloud de Azure App Service, asegurando alta disponibilidad orientada al entorno de producción.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RNF-004 (Mantenibilidad):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código fuente en Java debe mantener un diseño modular bajo el patrón MVC, garantizando cobertura de pruebas unitarias (JUnit) del 100% en clases críticas de validación.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RNF-005 (Compatibilidad):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 interfaz visual debe ser completamente responsive, adaptándose a dispositivos móviles, tablets y computadores de escritorio.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10. Reglas de Negocio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RN-001: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Ningún cliente con estado de membresía vencida (vencimiento &lt; CURDATE()) podrá registrar asistencia en el sistema.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RN-002: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Las rutinas de entrenamiento asignadas al usuario deben estar vinculadas obligatoriamente a una evaluación física previa registrada.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RN-003: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se permite realizar ventas de productos de inventario (suplementos) si la cantidad requerida supera el stock disponible registrado.</w:t>
      </w:r>
    </w:p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11. Casos de Uso y Modelo Secuencial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11.1 Tabla Resumen de Casos de Uso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000"/>
        <w:gridCol w:w="3200"/>
        <w:gridCol w:w="1400"/>
      </w:tblGrid>
      <w:tr>
        <w:trPr>
          <w:tblHeader/>
        </w:trPr>
        <w:tc>
          <w:tcPr>
            <w:tcW w:type="dxa" w:w="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Requisitos Relacionados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CU-01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Iniciar Sesión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Administrador / Cliente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Permite autenticarse en la plataforma web.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RF-001, RNF-001, RNF-002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CU-02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Registrar Asistencia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Cliente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Valida la vigencia del usuario y marca su ingreso diario.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RF-003, RN-001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CU-03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Facturar Membresía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Procesa el cobro y extiende la fecha de caducidad del plan.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RF-004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11.2 Diagramas de Casos de Uso (Estilo SENA)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continuación se presentan los diagramas UML de casos de uso, representados mediante el flujo secuencial de procesos característico de la metodología SENA.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1. Diagrama de Caso de Uso CU-01: Registrar Usuario.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2. Diagrama de Caso de Uso CU-02: Controlar Asistencia (con flujo alternativo A2).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Flujo alternativo (A2) — CU-02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Cliente no existe → El sistema informa que el cliente no existe.</w:t>
      </w:r>
    </w:p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12. Historias de Usuario (HU)</w:t>
      </w:r>
    </w:p>
    <w:tbl>
      <w:tblPr>
        <w:tblW w:type="dxa" w:w="9400"/>
        <w:tblBorders>
          <w:top w:val="single" w:color="E63946" w:sz="8"/>
          <w:left w:val="single" w:color="E63946" w:sz="8"/>
          <w:bottom w:val="single" w:color="E63946" w:sz="8"/>
          <w:right w:val="single" w:color="E63946" w:sz="8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B3223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HU-01: Control de Acceso en Recepción</w:t>
            </w:r>
          </w:p>
        </w:tc>
      </w:tr>
      <w:tr>
        <w:tc>
          <w:tcPr>
            <w:shd w:fill="FD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color w:val="B32232"/>
                <w:sz w:val="21"/>
                <w:szCs w:val="21"/>
              </w:rPr>
              <w:t xml:space="preserve">recepcionista de Taurus GYM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, quiero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digitar el documento del socio al ingreso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, para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que el sistema valide si su membresía está activa y permitirle o denegarle el paso de forma inmediata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232"/>
                <w:sz w:val="19"/>
                <w:szCs w:val="19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la membresía es vigente, se muestra un aviso en verde y se registra la asistencia.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 la membresía expiró, se bloquea el acceso en rojo con alerta de membresía vencida.</w:t>
            </w:r>
          </w:p>
        </w:tc>
      </w:tr>
    </w:tbl>
    <w:p>
      <w:pPr>
        <w:spacing w:after="240"/>
      </w:pPr>
    </w:p>
    <w:tbl>
      <w:tblPr>
        <w:tblW w:type="dxa" w:w="9400"/>
        <w:tblBorders>
          <w:top w:val="single" w:color="E63946" w:sz="8"/>
          <w:left w:val="single" w:color="E63946" w:sz="8"/>
          <w:bottom w:val="single" w:color="E63946" w:sz="8"/>
          <w:right w:val="single" w:color="E63946" w:sz="8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B3223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HU-02: Facturación y Renovación de Planes</w:t>
            </w:r>
          </w:p>
        </w:tc>
      </w:tr>
      <w:tr>
        <w:tc>
          <w:tcPr>
            <w:shd w:fill="FD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Como </w:t>
            </w:r>
            <w:r>
              <w:rPr>
                <w:rFonts w:ascii="Calibri" w:cs="Calibri" w:eastAsia="Calibri" w:hAnsi="Calibri"/>
                <w:b/>
                <w:bCs/>
                <w:color w:val="B32232"/>
                <w:sz w:val="21"/>
                <w:szCs w:val="21"/>
              </w:rPr>
              <w:t xml:space="preserve">administrador del gimnasio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, quiero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procesar el pago de un plan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21"/>
                <w:szCs w:val="21"/>
              </w:rPr>
              <w:t xml:space="preserve">, para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emitir la factura y actualizar de inmediato la fecha de vigencia del perfil del cliente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232"/>
                <w:sz w:val="19"/>
                <w:szCs w:val="19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Requiere seleccionar un método de pago válido.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sistema actualiza automáticamente la fecha límite del socio.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13. Matriz de Trazabilidad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 / Entidad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Pruebas (Evidencia)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RF-001 (Login)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Autenticar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Tabla usuarios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Automatización TestNG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RNF-001 (Estrés)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Login Concurrente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Servlets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Reporte JMeter (100 Hilos)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RN-002 (Validador)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Registro Cliente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ValidadorRegistro.java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Pruebas unitarias JUnit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14. Arquitectura del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desarrollo emplea una arquitectura orientada a la web de tres capas (MVC):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Frontend (Vista): Páginas web mediante JSP, HTML, CSS y diseño Mobile-First con Bootstrap.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Backend (Controlador): Lógica procesada con Java 11 (Servlets) bajo el gestor Apache Tomcat / Azure.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Base de datos (Modelo): Componentes DAO que ejecutan consultas preparadas a un MySQL gestionado en Cloud (Azure).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15. Modelo de Base de Datos y Normalización (3FN)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esquema lógico se encuentra optimizado en Tercera Forma Normal (3FN). Las tablas principales son: usuarios, roles, tipo_documento, membresias, asistencias, clases, usuarios_clases, evaluaciones_fisicas, rutinas, materiales_rutina, productos, proveedores, fact_cabecera, fact_detallada, metodo_pago, metas y sedes.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15.1 Diccionario de Datos (Extracto Principal)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600"/>
        <w:gridCol w:w="600"/>
        <w:gridCol w:w="700"/>
        <w:gridCol w:w="3000"/>
      </w:tblGrid>
      <w:tr>
        <w:trPr>
          <w:tblHeader/>
        </w:trPr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usuarios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id_usuarios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Identificador único del usuario.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nombre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Nombre del socio o empleado.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Correo electrónico único para login.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password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Hash de seguridad de la contraseña.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vencimiento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Fecha límite de validez de la membresía.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fact_cabecera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id_fact_cabecera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Consecutivo único de la factura comercial.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valor_total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Monto global de la transacción en pesos.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id_usuarios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Sí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Relación con el cliente comprador.</w:t>
            </w:r>
          </w:p>
        </w:tc>
      </w:tr>
    </w:tbl>
    <w:p>
      <w:pPr>
        <w:spacing w:after="12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15.2 Código SQL (DDL de Referencia)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1E1E1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roles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id_roles INT NOT NULL AUTO_INCREMENT,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descripcion VARCHAR(50)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PRIMARY KEY (id_roles)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usuarios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id_usuarios INT NOT NULL AUTO_INCREMENT,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nombre VARCHAR(50)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apellido VARCHAR(50)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documento VARCHAR(20)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email VARCHAR(100) DEFAULT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id_roles INT DEFAULT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password VARCHAR(100)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vencimiento DATE DEFAULT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PRIMARY KEY (id_usuarios),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CONSTRAINT fk_usuarios_roles FOREIGN KEY (id_roles) REFERENCES roles(id_roles)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asistencias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id_asistencias INT NOT NULL AUTO_INCREMENT,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fecha DATE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id_usuarios INT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PRIMARY KEY (id_asistencias),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UNIQUE KEY uk_asistencia_usuario_fecha (id_usuarios, fecha),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CONSTRAINT fk_asistencias_usuarios FOREIGN KEY (id_usuarios) REFERENCES usuarios(id_usuarios) ON DELETE CASCADE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16. Modelo de Clases del Sistema (por Paquetes Lógicos)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sistema se organiza en paquetes lógicos que agrupan las clases según su responsabilidad funcional: Servicios y Controladores, Usuarios y Administración, y Gestión de Membresías.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3. Diagrama de Clases UML de FitManager, organizado por paquetes lógicos.</w:t>
      </w:r>
    </w:p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17. Requisitos de Interfaz (UX/UI)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Paleta de Colores Institucional: inspirada en la identidad visual de Taurus GYM (Rojo Oscuro #E63946, Gris #F2F2F2, Negro Profundo #1A1A1A y Blanco Puro).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Módulos Principales: pantalla de Login, Dashboard Administrativo con paneles laterales colapsables, y Vista de Atleta (Cliente) con indicador visual de constancia.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18. Requisitos de Hardware y Software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Software Servidor y Desarrollo: Apache NetBeans 20, Java SE Development Kit (JDK 11), Servidor Apache Tomcat (integrado en Azure), MySQL Workbench 8.0.44.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Hardware Mínimo Recomendado: Procesador Dual-Core a 2.0 GHz, 4 GB de Memoria RAM y conexión a internet permanente superior a 5 Mbps.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19. Restricciones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Desarrollo estricto bajo Java 11 (JDK 11) utilizando Apache NetBeans 20.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Dependencia absoluta de conectividad a internet en la recepción del gimnasio debido a la infraestructura en la nube (Azure).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20. Supuestos y Dependencias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 asume que los clientes dispondrán de un dispositivo móvil o computador con navegador web actualizado para consultar su información personal.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Se asume que la base de datos MySQL en Azure mantendrá copias de seguridad estables administradas por el proveedor Cloud.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21. Criterios de Aceptación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declarar el módulo de validaciones listo, los scripts de prueba de JUnit deben ejecutarse al 100% (caminos positivos y negativos).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que un pase a producción sea avalado, el software debe ser capaz de procesar el login de clientes vía interfaz mediante el bot de Selenium sin excepciones.</w:t>
      </w:r>
    </w:p>
    <w:p>
      <w:r>
        <w:br w:type="page"/>
      </w: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22. Riesgos del Proyecto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000"/>
        <w:gridCol w:w="2500"/>
        <w:gridCol w:w="2700"/>
      </w:tblGrid>
      <w:tr>
        <w:trPr>
          <w:tblHeader/>
        </w:trPr>
        <w:tc>
          <w:tcPr>
            <w:tcW w:type="dxa" w:w="21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Identificado</w:t>
            </w:r>
          </w:p>
        </w:tc>
        <w:tc>
          <w:tcPr>
            <w:tcW w:type="dxa" w:w="1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2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Pérdida de conectividad Cloud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Imposibilidad operativa de marcar asistencias en recepción.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Uso temporal de respaldos locales de caché o redes de datos móviles de contingencia.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Inconsistencias de concurrencia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Baja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Conflictos en la actualización simultánea de stock de productos.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Aplicación rigurosa de transacciones atómicas y pruebas de estrés con JMeter.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23. Glosario Técnico y del Dominio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Powerlifting: deporte de fuerza basado en tres movimientos principales (Sentadilla, Press de Banca y Peso Muerto), enfoque comercial de Taurus GYM.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PreparedStatement: interfaz de Java JDBC que previene de forma nativa ataques de inyección SQL mediante la parametrización de variables.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24. Referencias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IEEE Std 830-1998: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Documentación técnica oficial de Java SE 11 y Apache NetBeans 20.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Guías de diseño y bases de datos relacionales en MySQL Workbench 8.0.44 / Azure.</w:t>
      </w:r>
    </w:p>
    <w:p>
      <w:pPr>
        <w:spacing w:after="120"/>
      </w:pPr>
    </w:p>
    <w:p>
      <w:pPr>
        <w:pStyle w:val="Heading1"/>
        <w:pBdr>
          <w:bottom w:val="single" w:color="E63946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B32232"/>
          <w:sz w:val="30"/>
          <w:szCs w:val="30"/>
        </w:rPr>
        <w:t xml:space="preserve">25. Lista de Elementos que Aún Deben Ser Definidos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Integración de Pasarela Wompi: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aunque el campo id_transaccion_wompi ya se encuentra estructurado en el esquema lógico de la base de datos, falta programar formalmente el flujo de callbacks y webhooks asíncronos para pagos en línea de membresías.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b/>
          <w:bCs/>
          <w:color w:val="B32232"/>
          <w:sz w:val="21"/>
          <w:szCs w:val="21"/>
        </w:rPr>
        <w:t xml:space="preserve">Despliegue Multiplataforma Nativo: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especificación detallada de los endpoints REST definitivos que consumirá la aplicación móvil en Flutter en fases posteriores.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Página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5"/>
        <w:szCs w:val="15"/>
      </w:rPr>
      <w:t xml:space="preserve"> de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6" w:space="4"/>
      </w:pBdr>
      <w:jc w:val="right"/>
    </w:pPr>
    <w:r>
      <w:rPr>
        <w:rFonts w:ascii="Calibri" w:cs="Calibri" w:eastAsia="Calibri" w:hAnsi="Calibri"/>
        <w:i/>
        <w:iCs/>
        <w:color w:val="555555"/>
        <w:sz w:val="15"/>
        <w:szCs w:val="15"/>
      </w:rPr>
      <w:t xml:space="preserve">FitManager — Especificación de Requisitos de Software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20"/>
      </w:pPr>
      <w:rPr>
        <w:color w:val="B3223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78b1197098089e96a1e2742ba0eda0ca6197ee.png"/><Relationship Id="rId10" Type="http://schemas.openxmlformats.org/officeDocument/2006/relationships/image" Target="media/29518957229aa0d0410af814ec81dd56475033d7.png"/><Relationship Id="rId11" Type="http://schemas.openxmlformats.org/officeDocument/2006/relationships/image" Target="media/3c97e2c7fd679aa1ab04418235ef4a17f5616a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FitManager</dc:title>
  <dc:creator>Kevin Andres Turizo Tamara / Dylan Alessandro Vera Peñuela</dc:creator>
  <cp:lastModifiedBy>Un-named</cp:lastModifiedBy>
  <cp:revision>1</cp:revision>
  <dcterms:created xsi:type="dcterms:W3CDTF">2026-09-03T15:12:42.595Z</dcterms:created>
  <dcterms:modified xsi:type="dcterms:W3CDTF">2026-09-03T15:12:42.595Z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