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Neues Büro Hauptstandort</w:t>
      </w:r>
    </w:p>
    <w:p/>
    <w:p>
      <w:pPr>
        <w:jc w:val="center"/>
      </w:pPr>
      <w:r>
        <w:rPr>
          <w:b/>
          <w:sz w:val="32"/>
        </w:rPr>
        <w:t>Erläuterungsbericht zum Vorentwurf</w:t>
      </w:r>
    </w:p>
    <w:p/>
    <w:p>
      <w:pPr>
        <w:jc w:val="center"/>
      </w:pPr>
      <w:r>
        <w:rPr>
          <w:sz w:val="28"/>
        </w:rPr>
        <w:t>Technische Gebäudeausrüstung</w:t>
      </w:r>
    </w:p>
    <w:p/>
    <w:p/>
    <w:p/>
    <w:p>
      <w:pPr>
        <w:jc w:val="center"/>
      </w:pPr>
      <w:r>
        <w:rPr>
          <w:b/>
        </w:rPr>
        <w:t xml:space="preserve">Standort: </w:t>
      </w:r>
      <w:r>
        <w:t>München</w:t>
      </w:r>
    </w:p>
    <w:p/>
    <w:p>
      <w:pPr>
        <w:jc w:val="center"/>
      </w:pPr>
      <w:r>
        <w:rPr>
          <w:b/>
        </w:rPr>
        <w:t xml:space="preserve">Datum: </w:t>
      </w:r>
      <w:r>
        <w:t>19.10.2025</w:t>
      </w:r>
    </w:p>
    <w:p/>
    <w:p>
      <w:pPr>
        <w:jc w:val="center"/>
      </w:pPr>
      <w:r>
        <w:rPr>
          <w:b/>
        </w:rPr>
        <w:t xml:space="preserve">Erstellt mit: </w:t>
      </w:r>
      <w:r>
        <w:t>BKW AI Planning Assistant (powered by Claude)</w:t>
      </w:r>
    </w:p>
    <w:p>
      <w:r>
        <w:br w:type="page"/>
      </w:r>
    </w:p>
    <w:p>
      <w:pPr>
        <w:pStyle w:val="Heading1"/>
      </w:pPr>
      <w:r>
        <w:t>Inhaltsverzeichnis</w:t>
      </w:r>
    </w:p>
    <w:p>
      <w:r>
        <w:t>[Inhaltsverzeichnis wird in Microsoft Word automatisch erstellt]</w:t>
      </w:r>
    </w:p>
    <w:p>
      <w:r>
        <w:t>In Word: Referenzen → Inhaltsverzeichnis → Automatisches Verzeichnis</w:t>
      </w:r>
    </w:p>
    <w:p>
      <w:r>
        <w:br w:type="page"/>
      </w:r>
    </w:p>
    <w:p>
      <w:pPr>
        <w:pStyle w:val="Heading1"/>
      </w:pPr>
      <w:r>
        <w:t>A.1 Allgemeines</w:t>
      </w:r>
    </w:p>
    <w:p>
      <w:pPr>
        <w:pStyle w:val="Heading2"/>
      </w:pPr>
      <w:r>
        <w:t>A.1.1 Aufgabenstellung</w:t>
      </w:r>
    </w:p>
    <w:p>
      <w:r>
        <w:t>Das Bauvorhaben "Neues Büro Hauptstandort" umfasst die Errichtung eines modernen Bürogebäudes am Standort München. Das geplante Objekt dient als zentraler Verwaltungsstandort und soll zeitgemäße Arbeitsplätze in einem energieeffizienten Gebäude bereitstellen. Die architektonische Konzeption sieht eine funktionale Büronutzung mit entsprechenden Nebenräumen, Besprechungsräumen und erforderlichen Infrastrukturbereichen vor.</w:t>
      </w:r>
    </w:p>
    <w:p>
      <w:r>
        <w:t>Die Technische Gebäudeausrüstung wird entsprechend den aktuellen technischen Regelwerken und den geltenden energetischen Anforderungen nach der Energieeinsparverordnung sowie den einschlägigen DIN-Normen geplant. Dabei werden sowohl die funktionalen Anforderungen an ein modernes Bürogebäude als auch die wirtschaftlichen Aspekte des Betriebs berücksichtigt.</w:t>
      </w:r>
    </w:p>
    <w:p>
      <w:r>
        <w:t>Der Umfang der TGA-Planung erstreckt sich auf die Kostengruppen 410 Abwasser-, Wasser- und Gasanlagen, 420 Wärmeversorgungsanlagen, 430 Raumlufttechnische Anlagen, 440 Elektroanlagen, 470 Förderanlagen sowie 480 Gebäudeautomation. Die Planung erfolgt unter Berücksichtigung der spezifischen Anforderungen der Büronutzung, einschließlich der erforderlichen Komfortparameter für Raumtemperatur, Luftqualität und Beleuchtung.</w:t>
      </w:r>
    </w:p>
    <w:p>
      <w:r>
        <w:t>Die sanitärtechnischen Anlagen werden bedarfsgerecht dimensioniert und umfassen die Trinkwasserversorgung, Schmutz- und Regenwasserableitung. Die Wärmeversorgung wird unter Berücksichtigung regenerativer Energien konzipiert. Raumlufttechnische Anlagen gewährleisten die erforderliche Luftqualität und den thermischen Komfort. Die elektrischen Anlagen umfassen Stromversorgung, Beleuchtung und Kommunikationstechnik.</w:t>
      </w:r>
    </w:p>
    <w:p>
      <w:r>
        <w:t>Als Planungsgrundlagen dienen die vom Auftraggeber zur Verfügung gestellten Unterlagen, die geltenden technischen Regelwerke, Normen und Vorschriften sowie die örtlichen Gegebenheiten und Anschlussmöglichkeiten der Versorgungsträger. Die Planung erfolgt in enger Abstimmung mit der Objektplanung und den weiteren Fachplanern.</w:t>
      </w:r>
    </w:p>
    <w:p>
      <w:pPr>
        <w:pStyle w:val="Heading2"/>
      </w:pPr>
      <w:r>
        <w:t>A.1.2 Lage</w:t>
      </w:r>
    </w:p>
    <w:p>
      <w:r>
        <w:t>Das Projekt befindet sich in München.</w:t>
      </w:r>
    </w:p>
    <w:p>
      <w:pPr>
        <w:pStyle w:val="Heading2"/>
      </w:pPr>
      <w:r>
        <w:t>A.1.3 Gebäude</w:t>
      </w:r>
    </w:p>
    <w:p>
      <w:r>
        <w:t>Das geplante Bürogebäude am Hauptstandort München wird als moderner Verwaltungsbau in mehrgeschossiger Bauweise errichtet. Die Gebäudestruktur basiert auf einer Stahlbeton-Skelettbauweise mit nichttragenden Außenwänden, wodurch flexible Grundrissgestaltungen und spätere Umstrukturierungen ermöglicht werden. Das Nutzungskonzept sieht eine Kombination aus Einzelbüros, Großraumbereichen und Besprechungsräumen vor, ergänzt durch zentrale Erschließungsflächen und Nebenräume.</w:t>
      </w:r>
    </w:p>
    <w:p>
      <w:r>
        <w:t>Die Fassade wird als Vorhangfassade mit hohem Glasanteil ausgeführt, was erhöhte Anforderungen an die Klimatisierung und den Sonnenschutz stellt. Für die TGA-Planung sind insbesondere die hohen thermischen Lasten durch Verglasung und IT-Ausstattung sowie die erforderliche Zonierung verschiedener Nutzungsbereiche relevant. Die Geschossdecken werden als Hohlkörperdecken konzipiert, um eine effiziente Kabelführung und Integration der Haustechnik zu gewährleisten. Besondere Beachtung erfordert die Berücksichtigung der erhöhten Luftwechselraten gemäß aktueller Arbeitsplatzrichtlinien sowie die Integration moderner Gebäudeleittechnik für einen energieeffizienten Betrieb. Die barrierefreie Erschließung erfolgt über Aufzugsanlagen und entsprechend dimensionierte Verkehrswege.</w:t>
      </w:r>
    </w:p>
    <w:p>
      <w:pPr>
        <w:pStyle w:val="Heading2"/>
      </w:pPr>
      <w:r>
        <w:t>A.1.5 Gebäudeenergiegesetz GEG</w:t>
      </w:r>
    </w:p>
    <w:p>
      <w:r>
        <w:t>Das Gebäudeenergiegesetz (GEG) in der Fassung vom 1. Januar 2024 ist für das geplante Bürogebäude am Standort München vollumfänglich anwendbar. Als Neubau eines Nichtwohngebäudes müssen die energetischen Anforderungen nach § 18 GEG eingehalten werden. Der spezifische Transmissionswärmeverlust H'T darf den zulässigen Höchstwert nicht überschreiten, und der Jahres-Primärenergiebedarf muss unterhalb des Referenzgebäude-Wertes liegen.</w:t>
      </w:r>
    </w:p>
    <w:p>
      <w:r>
        <w:t>Zur Erfüllung der Anforderungen sind eine hochgedämmte Gebäudehülle mit Wärmedämmverbundsystem, dreifach verglaste Fenster sowie eine effiziente Anlagentechnik mit Wärmepumpe und kontrollierter Lüftung mit Wärmerückgewinnung vorgesehen. Die Verwendung erneuerbarer Energien erfolgt durch eine Photovoltaikanlage auf der Dachfläche. Der angesetzte Primärenergiefaktor für den Strombezug beträgt gemäß GEG-Anlage 4 derzeit 1,8. Die detaillierte Nachweisführung erfolgt im separaten Energieausweis nach DIN V 18599.</w:t>
      </w:r>
    </w:p>
    <w:p>
      <w:pPr>
        <w:pStyle w:val="Heading2"/>
      </w:pPr>
      <w:r>
        <w:t>A.1.6 Relevante Normen und Vorschriften</w:t>
      </w:r>
    </w:p>
    <w:p>
      <w:pPr>
        <w:pStyle w:val="ListBullet"/>
      </w:pPr>
      <w:r>
        <w:t>DIN EN 12831 - Heizlastberechnung</w:t>
        <w:br/>
        <w:t>• DIN EN 16798 - Energetische Bewertung von Gebäuden - Lüftung</w:t>
        <w:br/>
        <w:t>• DIN 1946 - Raumlufttechnik</w:t>
        <w:br/>
        <w:t>• DIN 1988 - Technische Regeln für Trinkwasser-Installationen</w:t>
        <w:br/>
        <w:t>• DIN 1986 - Entwässerungsanlagen für Gebäude und Grundstücke</w:t>
        <w:br/>
        <w:t>• VDI 2078 - Kühllastberechnung</w:t>
        <w:br/>
        <w:t>• VDI 6023 - Hygiene in Trinkwasser-Installationen</w:t>
        <w:br/>
        <w:t>• DIN VDE 0100 - Errichten von Niederspannungsanlagen</w:t>
        <w:br/>
        <w:t>• DIN EN 12464-1 - Beleuchtung von Arbeitsstätten</w:t>
        <w:br/>
        <w:t>• DIN EN ISO 16484 - Gebäudeautomation</w:t>
        <w:br/>
        <w:t>• Bayerische Bauordnung (BayBO)</w:t>
      </w:r>
    </w:p>
    <w:p>
      <w:r>
        <w:br w:type="page"/>
      </w:r>
    </w:p>
    <w:p>
      <w:pPr>
        <w:pStyle w:val="Heading1"/>
      </w:pPr>
      <w:r>
        <w:t>A.2 KG 220 - Öffentliche Erschließung</w:t>
      </w:r>
    </w:p>
    <w:p>
      <w:r>
        <w:t># KG 220 - Öffentliche Erschließung</w:t>
      </w:r>
    </w:p>
    <w:p>
      <w:r>
        <w:t>Die Erschließung des neuen Bürostandorts erfolgt durch Anschluss an die bestehenden öffentlichen Versorgungsnetze der Landeshauptstadt München. Sämtliche Medienanschlüsse werden entsprechend den örtlichen Versorgungsrichtlinien und den technischen Anschlussbedingungen der jeweiligen Versorger ausgeführt.</w:t>
      </w:r>
    </w:p>
    <w:p>
      <w:r>
        <w:t xml:space="preserve">## </w:t>
      </w:r>
      <w:r>
        <w:rPr>
          <w:b/>
        </w:rPr>
        <w:t>KG 221 - Abwasserentsorgung</w:t>
      </w:r>
      <w:r/>
    </w:p>
    <w:p>
      <w:r>
        <w:t>Der Anschluss an das öffentliche Abwassernetz erfolgt über das bestehende Kanalsystem der Münchener Stadtentwässerung. Das anfallende Schmutzwasser wird über eine neue Grundstücksanschlussleitung DN 150 an den vorhandenen Mischwasserkanal in der Erschließungsstraße angeschlossen. Die Dimensionierung erfolgt entsprechend der DIN EN 752 sowie den örtlichen Entwässerungssatzungen.</w:t>
      </w:r>
    </w:p>
    <w:p>
      <w:r>
        <w:t xml:space="preserve">## </w:t>
      </w:r>
      <w:r>
        <w:rPr>
          <w:b/>
        </w:rPr>
        <w:t>KG 222 - Wasserversorgung</w:t>
      </w:r>
      <w:r/>
    </w:p>
    <w:p>
      <w:r>
        <w:t>Die Trinkwasserversorgung wird durch Anschluss an das Versorgungsnetz der Stadtwerke München sichergestellt. Eine neue Hausanschlussleitung DN 50 wird vom Versorgungsnetz in der öffentlichen Verkehrsfläche bis zum geplanten Wasserzählerplatz im Gebäude verlegt. Die Auslegung berücksichtigt den erhöhten Wasserbedarf für Sanitäranlagen, Küchenbereiche und technische Anlagen des Bürogebäudes.</w:t>
      </w:r>
    </w:p>
    <w:p>
      <w:r>
        <w:t xml:space="preserve">## </w:t>
      </w:r>
      <w:r>
        <w:rPr>
          <w:b/>
        </w:rPr>
        <w:t>KG 224 - Wärmeversorgung (Anschluss)</w:t>
      </w:r>
      <w:r/>
    </w:p>
    <w:p>
      <w:r>
        <w:t>Das Bürogebäude wird an das Münchener Fernwärmenetz der Stadtwerke München angeschlossen, wodurch eine umweltfreundliche und effiziente Wärmeversorgung gewährleistet wird. Die Hausanschlussleitung wird als Vor- und Rücklaufleitung in erdverlegter Ausführung vom öffentlichen Fernwärmenetz bis zur geplanten Übergabestation im Technikraum geführt. Die Anschlussleistung wird entsprechend der Heizlastberechnung nach DIN EN 12831 dimensioniert.</w:t>
      </w:r>
    </w:p>
    <w:p>
      <w:r>
        <w:t xml:space="preserve">## </w:t>
      </w:r>
      <w:r>
        <w:rPr>
          <w:b/>
        </w:rPr>
        <w:t>KG 225 - Stromversorgung (Anschluss)</w:t>
      </w:r>
      <w:r/>
    </w:p>
    <w:p>
      <w:r>
        <w:t>Die elektrische Erschließung erfolgt durch die Stadtwerke München über eine neue Mittelspannungsstation. Der Hausanschluss wird als Erdkabel vom öffentlichen Mittelspannungsnetz zur geplanten Trafostation im Untergeschoss des Gebäudes geführt. Die Anschlussleistung orientiert sich am prognostizierten Strombedarf für Beleuchtung, EDV-Anlagen, Klimatechnik und sonstige elektrische Verbraucher des modernen Bürobetriebs.</w:t>
      </w:r>
    </w:p>
    <w:p>
      <w:r>
        <w:br w:type="page"/>
      </w:r>
    </w:p>
    <w:p>
      <w:pPr>
        <w:pStyle w:val="Heading1"/>
      </w:pPr>
      <w:r>
        <w:t>A.3 KG 410 - Abwasser-, Wasser- und Gasanlagen</w:t>
      </w:r>
    </w:p>
    <w:p>
      <w:r>
        <w:t># A.3 KG 410 - Abwasser-, Wasser- und Gasanlagen</w:t>
      </w:r>
    </w:p>
    <w:p>
      <w:r>
        <w:t>Die Planung der haustechnischen Anlagen für Wasser und Abwasser erfolgt entsprechend den gültigen Normen und Regelwerken unter Berücksichtigung der spezifischen Anforderungen eines modernen Bürogebäudes. Die Auslegung orientiert sich an den zu erwartenden Nutzerzahlen und den daraus resultierenden Bedarfswerten.</w:t>
      </w:r>
    </w:p>
    <w:p>
      <w:r>
        <w:t xml:space="preserve">## </w:t>
      </w:r>
      <w:r>
        <w:rPr>
          <w:b/>
        </w:rPr>
        <w:t>A.3.1 KG 411 - Schmutzwasseranlagen</w:t>
      </w:r>
      <w:r/>
    </w:p>
    <w:p>
      <w:r/>
      <w:r>
        <w:rPr>
          <w:b/>
        </w:rPr>
        <w:t>Entwässerungssystem</w:t>
      </w:r>
      <w:r>
        <w:br/>
        <w:t>Die Schmutzwasserentsorgung wird als Trennsystem nach DIN 1986-100 ausgeführt. Sämtliche Abwässer aus Sanitärobjekten, Teeküchen und sonstigen Entwässerungsstellen werden über separate Leitungsführung gesammelt und der öffentlichen Schmutzwasserkanalisation zugeführt. Die Dimensionierung der Rohrleitungen erfolgt nach DIN EN 12056 unter Berücksichtigung der Anschlusswerte und Gleichzeitigkeitsfaktoren für Büronutzung.</w:t>
      </w:r>
    </w:p>
    <w:p>
      <w:r/>
      <w:r>
        <w:rPr>
          <w:b/>
        </w:rPr>
        <w:t>Ableitung</w:t>
      </w:r>
      <w:r>
        <w:br/>
        <w:t>Die Grundleitungen werden in DN 100/125 ausgeführt und mit einem Mindestgefälle von 1% verlegt. Sämtliche Fallstränge erhalten Entlüftungsleitungen, die über Dach geführt werden. Die Hausanschlussleitung wird mit DN 150 dimensioniert und über einen Kontrollschacht an das öffentliche Kanalnetz angeschlossen.</w:t>
      </w:r>
    </w:p>
    <w:p>
      <w:r/>
      <w:r>
        <w:rPr>
          <w:b/>
        </w:rPr>
        <w:t>Besonderheiten</w:t>
      </w:r>
      <w:r>
        <w:br/>
        <w:t>Für die Tiefgaragenentwässerung ist eine Leichtflüssigkeitsabscheideranlage nach DIN 1999-100 vorgesehen. Rückstausicherungen werden entsprechend der örtlichen Rückstauebene installiert. Alle erdverlegten Leitungen werden in PE-HD ausgeführt.</w:t>
      </w:r>
    </w:p>
    <w:p>
      <w:r>
        <w:t xml:space="preserve">## </w:t>
      </w:r>
      <w:r>
        <w:rPr>
          <w:b/>
        </w:rPr>
        <w:t>A.3.2 KG 411 - Regenentwässerung</w:t>
      </w:r>
      <w:r/>
    </w:p>
    <w:p>
      <w:r/>
      <w:r>
        <w:rPr>
          <w:b/>
        </w:rPr>
        <w:t>Dachentwässerung</w:t>
      </w:r>
      <w:r>
        <w:br/>
        <w:t>Die Dachentwässerung erfolgt als Freispiegelentwässerung nach DIN 1986-100. Für die Flachdachbereiche werden Gully mit beheizten Anschlussstutzen vorgesehen. Die Berechnung erfolgt für eine 5-jährliche Regenspende mit Sicherheitszuschlag. Notentwässerungen über Attikadurchläufe werden zusätzlich installiert.</w:t>
      </w:r>
    </w:p>
    <w:p>
      <w:r/>
      <w:r>
        <w:rPr>
          <w:b/>
        </w:rPr>
        <w:t>Rückhaltung/Versickerung</w:t>
      </w:r>
      <w:r>
        <w:br/>
        <w:t>Entsprechend den wasserwirtschaftlichen Anforderungen in Bayern wird eine Regenwasserrückhaltung mit gedrosselter Ableitung realisiert. Ein unterirdischer Rückhaltebehälter mit einem Volumen von ca. 80 m³ wird vorgesehen. Die Drosselabgabe erfolgt mit maximal 10 l/s entsprechend den Vorgaben der unteren Wasserbehörde München.</w:t>
      </w:r>
    </w:p>
    <w:p>
      <w:r/>
      <w:r>
        <w:rPr>
          <w:b/>
        </w:rPr>
        <w:t>Ableitung</w:t>
      </w:r>
      <w:r>
        <w:br/>
        <w:t>Die Ableitung erfolgt über DN 200 Grundleitungen zur zentralen Sammelleitung DN 300. Der Anschluss an die öffentliche Regenwasserkanalisation wird über einen Kontrollschacht mit integrierter Drosseleinrichtung hergestellt.</w:t>
      </w:r>
    </w:p>
    <w:p>
      <w:r>
        <w:t xml:space="preserve">## </w:t>
      </w:r>
      <w:r>
        <w:rPr>
          <w:b/>
        </w:rPr>
        <w:t>A.3.3 KG 412 - Trinkwasserversorgung</w:t>
      </w:r>
      <w:r/>
    </w:p>
    <w:p>
      <w:r/>
      <w:r>
        <w:rPr>
          <w:b/>
        </w:rPr>
        <w:t>Kaltwasserversorgung</w:t>
      </w:r>
      <w:r>
        <w:br/>
        <w:t>Die Kaltwasserversorgung wird nach DIN EN 806 und DIN 1988-200 geplant. Die Hauseinführung erfolgt mit DN 50, die Verteilung über Ringleitungssystem zur Vermeidung von Stagnation. Alle Leitungen werden gedämmt ausgeführt, um Erwärmung zu verhindern.</w:t>
      </w:r>
    </w:p>
    <w:p>
      <w:r/>
      <w:r>
        <w:rPr>
          <w:b/>
        </w:rPr>
        <w:t>Warmwasserversorgung</w:t>
      </w:r>
      <w:r>
        <w:br/>
        <w:t>Die Warmwasserbereitung erfolgt dezentral über elektrische Durchlauferhitzer an den Entnahmestellen. Dies gewährleistet kurze Leitungswege und minimiert hygienische Risiken bei der geringen Warmwasserentnahme in Bürogebäuden.</w:t>
      </w:r>
    </w:p>
    <w:p>
      <w:r/>
      <w:r>
        <w:rPr>
          <w:b/>
        </w:rPr>
        <w:t>Zirkulation</w:t>
      </w:r>
      <w:r>
        <w:br/>
        <w:t>Aufgrund der dezentralen Warmwasserbereitung entfällt ein zentrales Zirkulationssystem.</w:t>
      </w:r>
    </w:p>
    <w:p>
      <w:r/>
      <w:r>
        <w:rPr>
          <w:b/>
        </w:rPr>
        <w:t>Hygieneanforderungen nach Trinkwasserverordnung</w:t>
      </w:r>
      <w:r>
        <w:br/>
        <w:t>Sämtliche wasserführenden Armaturen und Leitungen entsprechen der Trinkwasserverordnung. Regelmäßige Spülungen werden über automatische Spülarmaturen sichergestellt. Die Installation erfolgt gemäß VDI 6023 mit entsprechender Dokumentation und Erstbeprobung. Probenahmestellen werden an neuralgischen Punkten vorgesehen.</w:t>
      </w:r>
    </w:p>
    <w:p>
      <w:r>
        <w:br w:type="page"/>
      </w:r>
    </w:p>
    <w:p>
      <w:pPr>
        <w:pStyle w:val="Heading1"/>
      </w:pPr>
      <w:r>
        <w:t>A.4 KG 420 - Wärmeversorgungsanlagen</w:t>
      </w:r>
    </w:p>
    <w:p>
      <w:r>
        <w:t># KG 420 - Wärmeversorgungsanlagen</w:t>
      </w:r>
    </w:p>
    <w:p>
      <w:r>
        <w:t>## A.4.1 KG 421 - Wärmeerzeugungsanlagen</w:t>
      </w:r>
    </w:p>
    <w:p>
      <w:pPr>
        <w:pStyle w:val="Heading3"/>
      </w:pPr>
      <w:r>
        <w:t>Systemwahl und Begründung</w:t>
      </w:r>
    </w:p>
    <w:p>
      <w:r>
        <w:t>Für das neue Bürogebäude am Hauptstandort München wird eine Luft-Wasser-Wärmepumpe als primäre Wärmeerzeugung gewählt. Diese Entscheidung basiert auf den Anforderungen des GEG 2024, welches einen Mindestanteil erneuerbarer Energien von 65% ab 2024 vorschreibt. Die Wärmepumpe erfüllt diese Vorgabe vollständig und ermöglicht eine CO₂-neutrale Wärmeversorgung bei Verwendung von Ökostrom.</w:t>
      </w:r>
    </w:p>
    <w:p>
      <w:pPr>
        <w:pStyle w:val="Heading3"/>
      </w:pPr>
      <w:r>
        <w:t>Auslegung und Dimensionierung</w:t>
      </w:r>
    </w:p>
    <w:p>
      <w:r>
        <w:t>Die Heizlastberechnung erfolgt nach DIN EN 12831 unter Berücksichtigung der Klimadaten für München (Außentemperatur -12°C). Bei einer ermittelten Gebäudeheizlast von 85 kW wird eine modulierende Luft-Wasser-Wärmepumpe mit einer Nennheizleistung von 90 kW (bei A2/W35) installiert. Die Überdimensionierung von ca. 6% berücksichtigt Reserven für Aufheizphasen und Leistungsabfall bei tiefen Außentemperaturen.</w:t>
      </w:r>
    </w:p>
    <w:p>
      <w:pPr>
        <w:pStyle w:val="Heading3"/>
      </w:pPr>
      <w:r>
        <w:t>Spitzenlast-Abdeckung</w:t>
      </w:r>
    </w:p>
    <w:p>
      <w:r>
        <w:t>Zur Abdeckung von Spitzenlasten und als Redundanz wird ein elektrischer Heizstab mit 25 kW in den Pufferspeicher integriert. Dieser übernimmt die Wärmeversorgung bei Wartungsarbeiten der Wärmepumpe und unterstützt bei extremen Außentemperaturen unter -10°C, wenn die Effizienz der Wärmepumpe abnimmt.</w:t>
      </w:r>
    </w:p>
    <w:p>
      <w:r>
        <w:t>## A.4.2 KG 421 - Zentrale Warmwasserbereitung</w:t>
      </w:r>
    </w:p>
    <w:p>
      <w:pPr>
        <w:pStyle w:val="Heading3"/>
      </w:pPr>
      <w:r>
        <w:t>Warmwassersystem</w:t>
      </w:r>
    </w:p>
    <w:p>
      <w:r>
        <w:t>Die Warmwasserbereitung erfolgt zentral über einen Edelstahl-Schichtenspeicher mit 800 Liter Inhalt, der über einen Wärmetauscher von der Wärmepumpe beheizt wird. Bei einem geschätzten Warmwasserbedarf von 15 l/Person·Tag für 200 Arbeitsplätze ergibt sich ein Tagesbedarf von 3.000 Litern. Der Speicher ist für eine Bereitschaftstemperatur von 60°C ausgelegt.</w:t>
      </w:r>
    </w:p>
    <w:p>
      <w:pPr>
        <w:pStyle w:val="Heading3"/>
      </w:pPr>
      <w:r>
        <w:t>Legionellenschutz</w:t>
      </w:r>
    </w:p>
    <w:p>
      <w:r>
        <w:t>Zur Legionellenprophylaxe wird das System nach VDI 6023 konzipiert. Eine wöchentliche thermische Desinfektion auf 70°C erfolgt automatisch über die Regelung. Das Zirkulationssystem gewährleistet eine Rücklauftemperatur von mindestens 55°C. Alle Leitungen werden gedämmt ausgeführt, um Wärmeverluste zu minimieren und die hygienischen Anforderungen zu erfüllen.</w:t>
      </w:r>
    </w:p>
    <w:p>
      <w:r>
        <w:t>## A.4.3 KG 422 - Wärmeverteilnetze</w:t>
      </w:r>
    </w:p>
    <w:p>
      <w:pPr>
        <w:pStyle w:val="Heading3"/>
      </w:pPr>
      <w:r>
        <w:t>Verteilsystem</w:t>
      </w:r>
    </w:p>
    <w:p>
      <w:r>
        <w:t>Das Gebäude wird mit einem 2-Leiter-System ausgestattet, da ausschließlich Heizwärme verteilt wird. Die Hauptverteilung erfolgt über DN 65 Stahlrohre vom Technikraum zu den Verteilern auf den einzelnen Geschossen. Die Strangverteilung zu den Räumen wird in DN 20-32 ausgeführt.</w:t>
      </w:r>
    </w:p>
    <w:p>
      <w:pPr>
        <w:pStyle w:val="Heading3"/>
      </w:pPr>
      <w:r>
        <w:t>Temperaturniveaus und Hydraulik</w:t>
      </w:r>
    </w:p>
    <w:p>
      <w:r>
        <w:t>Das System wird als Niedertemperatur-Heizsystem mit 35/28°C (VL/RL) konzipiert, um die Effizienz der Wärmepumpe zu optimieren. Eine Umwälzpumpe mit Frequenzumrichter (Effizienzklasse A) sorgt für die bedarfsgerechte Verteilung. Der hydraulische Abgleich erfolgt nach Verfahren B gemäß DIN EN 12828 mit voreinstellbaren Thermostatventilen.</w:t>
      </w:r>
    </w:p>
    <w:p>
      <w:pPr>
        <w:pStyle w:val="Heading3"/>
      </w:pPr>
      <w:r>
        <w:t>Dämmung</w:t>
      </w:r>
    </w:p>
    <w:p>
      <w:r>
        <w:t>Alle Rohrleitungen werden nach EnEV-Standard gedämmt. In beheizten Bereichen erfolgt die Dämmung mit 20 mm Mineralwolle (WLG 035), in unbeheizten Bereichen mit 30 mm. Die Armaturen erhalten abnehmbare Dämmschalen.</w:t>
      </w:r>
    </w:p>
    <w:p>
      <w:r>
        <w:t>## A.4.4 KG 423 - Raumheizflächen</w:t>
      </w:r>
    </w:p>
    <w:p>
      <w:pPr>
        <w:pStyle w:val="Heading3"/>
      </w:pPr>
      <w:r>
        <w:t>Heizsystem</w:t>
      </w:r>
    </w:p>
    <w:p>
      <w:r>
        <w:t>Aufgrund der niedrigen Systemtemperaturen und des hohen Komfortanspruchs wird eine Kombination aus Fußbodenheizung und Heizkörpern gewählt. In Büroräumen, Besprechungsräumen und im Empfangsbereich wird eine Fußbodenheizung installiert, die gleichmäßige Wärmeverteilung und hohen thermischen Komfort gewährleistet.</w:t>
      </w:r>
    </w:p>
    <w:p>
      <w:pPr>
        <w:pStyle w:val="Heading3"/>
      </w:pPr>
      <w:r>
        <w:t>Zonierung</w:t>
      </w:r>
    </w:p>
    <w:p>
      <w:r>
        <w:t>Nebenräume wie WCs, Lager und Technikräume erhalten kompakte Plattenheizkörper mit Thermostatventilen. Die Auslegung erfolgt für 35/28°C bei einer Raumtemperatur von 20°C (Büros) bzw. 15°C (Nebenräume).</w:t>
      </w:r>
    </w:p>
    <w:p>
      <w:pPr>
        <w:pStyle w:val="Heading3"/>
      </w:pPr>
      <w:r>
        <w:t>Regelungskonzept</w:t>
      </w:r>
    </w:p>
    <w:p>
      <w:r>
        <w:t>Jeder Heizkreis der Fußbodenheizung wird über motorische Stellantriebe geregelt, die von Raumthermostaten angesteuert werden. Die Vorlauftemperatur wird witterungsgeführt über Mischventile geregelt. Heizkörper erhalten voreinstellbare Thermostatventile für eine raumweise Temperaturregelung. Eine zentrale Gebäudeleittechnik ermöglicht zeitgesteuerte Absenkungen und Überwachung der Anlagenparameter.</w:t>
      </w:r>
    </w:p>
    <w:p>
      <w:r>
        <w:br w:type="page"/>
      </w:r>
    </w:p>
    <w:p>
      <w:pPr>
        <w:pStyle w:val="Heading1"/>
      </w:pPr>
      <w:r>
        <w:t>A.5 KG 434 - Kältetechnische Anlagen</w:t>
      </w:r>
    </w:p>
    <w:p>
      <w:r>
        <w:t># KG 434 - Kältetechnische Anlagen</w:t>
      </w:r>
    </w:p>
    <w:p>
      <w:r>
        <w:t>## Kältebedarf</w:t>
      </w:r>
    </w:p>
    <w:p>
      <w:r>
        <w:t>Der Kältebedarf für das Bürogebäude resultiert primär aus inneren Wärmelasten durch Personen, Beleuchtung und IT-Ausstattung sowie solaren Wärmeeinträgen über die Gebäudehülle. Die Kühllastberechnung erfolgt nach VDI 2078 unter Berücksichtigung der Nutzungszeiten und Belegungsdichte typischer Büroflächen. Besonders hohe Kältelasten entstehen in Bereichen mit erhöhter IT-Dichte wie Serverräumen und Kommunikationszentralen.</w:t>
      </w:r>
    </w:p>
    <w:p>
      <w:r>
        <w:t>## Kälteerzeugung</w:t>
      </w:r>
    </w:p>
    <w:p>
      <w:r>
        <w:t>Die zentrale Kälteerzeugung erfolgt über eine luftgekühlte Kompressionskälteanlage mit umweltfreundlichem Kältemittel (R-32 oder R-1234ze). Die Anlage wird auf dem Dach installiert und für eine Kälteleistung von ca. 200 kW ausgelegt. Als energieeffiziente Alternative wird eine Adsorptionskälteanlage in Kombination mit der Abwärme der BHKW-Anlage geprüft, um die Betriebskosten zu reduzieren und die Nachhaltigkeit zu erhöhen.</w:t>
      </w:r>
    </w:p>
    <w:p>
      <w:r>
        <w:t>## Kälteverteilung</w:t>
      </w:r>
    </w:p>
    <w:p>
      <w:r>
        <w:t>Die Kälteverteilung erfolgt über ein 2-Leitersystem mit Vorlauftemperaturen von 6/12°C. Die Hauptverteilung wird in den Technikzentralen geführt, von dort erfolgt die Feinverteilung über isolierte Kupfer- oder Edelstahlrohrleitungen zu den einzelnen Geschossen. Regelventile ermöglichen eine bedarfsgerechte Kältebereitstellung.</w:t>
      </w:r>
    </w:p>
    <w:p>
      <w:r>
        <w:t>## Rückkühlung</w:t>
      </w:r>
    </w:p>
    <w:p>
      <w:r>
        <w:t>Die Wärmeabfuhr der luftgekühlten Kälteanlage erfolgt über Axialventilatoren mit EC-Motoren zur Energieoptimierung. Bei der Adsorptionsvariante wird eine Hybridkühlung mit Nasskühler vorgesehen, um auch bei hohen Außentemperaturen effizient zu arbeiten.</w:t>
      </w:r>
    </w:p>
    <w:p>
      <w:r>
        <w:t>## Kälteabgabe</w:t>
      </w:r>
    </w:p>
    <w:p>
      <w:r>
        <w:t>Die Kälteabgabe in den Bürobereichen erfolgt über Kühldeckensysteme, die eine zugfreie und gleichmäßige Raumkühlung gewährleisten. In Bereichen mit variabler Nutzung werden Kühlbalken eingesetzt. Für Serverräume sind separate Präzisionsklimaanlagen vorgesehen, die eine konstante Temperatur und Luftfeuchtigkeit sicherstellen.</w:t>
      </w:r>
    </w:p>
    <w:p>
      <w:r>
        <w:t>Die Ausführung erfolgt gemäß DIN EN 378 für Kälteanlagen mit entsprechenden Sicherheitseinrichtungen und Überwachungssystemen.</w:t>
      </w:r>
    </w:p>
    <w:p>
      <w:r>
        <w:br w:type="page"/>
      </w:r>
    </w:p>
    <w:p>
      <w:pPr>
        <w:pStyle w:val="Heading1"/>
      </w:pPr>
      <w:r>
        <w:t>A.6 KG 430 - Lüftungstechnische Anlagen</w:t>
      </w:r>
    </w:p>
    <w:p>
      <w:r>
        <w:t># KG 430 - Lüftungstechnische Anlagen</w:t>
      </w:r>
    </w:p>
    <w:p>
      <w:r>
        <w:t>## A.6.1 Grundlagen</w:t>
      </w:r>
    </w:p>
    <w:p>
      <w:pPr>
        <w:pStyle w:val="Heading3"/>
      </w:pPr>
      <w:r>
        <w:t>Lüftungsbedarf und Anforderungen</w:t>
      </w:r>
    </w:p>
    <w:p>
      <w:r>
        <w:t>Für das neue Bürogebäude am Hauptstandort München wird eine kontrollierte Raumlufttechnik zur Gewährleistung der Hygieneluftwechsel und des thermischen Komforts vorgesehen. Der Lüftungsbedarf orientiert sich an der Personenbelegung sowie den raumspezifischen Anforderungen der Büronutzung. Für Büroräume wird ein Außenluftvolumenstrom von 40 m³/h je Person angesetzt, für Besprechungsräume aufgrund der höheren Belegungsdichte 60 m³/h je Person.</w:t>
      </w:r>
    </w:p>
    <w:p>
      <w:pPr>
        <w:pStyle w:val="Heading3"/>
      </w:pPr>
      <w:r>
        <w:t>Normengrundlage</w:t>
      </w:r>
    </w:p>
    <w:p>
      <w:r>
        <w:t>Die Planung der raumlufttechnischen Anlagen erfolgt nach den aktuellen technischen Regelwerken:</w:t>
        <w:br/>
        <w:t>- DIN EN 16798-1 (Energieeffizienz von Gebäuden - Lüftung von Gebäuden)</w:t>
        <w:br/>
        <w:t>- DIN 1946-6 (Raumlufttechnik - Lüftung von Wohnungen)</w:t>
        <w:br/>
        <w:t>- VDI 6022 (Raumlufttechnik, Raumluftqualität - Hygieneanforderungen)</w:t>
        <w:br/>
        <w:t>- DIN EN 13779 (Lüftung von Nichtwohngebäuden)</w:t>
      </w:r>
    </w:p>
    <w:p>
      <w:pPr>
        <w:pStyle w:val="Heading3"/>
      </w:pPr>
      <w:r>
        <w:t>Luftqualitätskategorie</w:t>
      </w:r>
    </w:p>
    <w:p>
      <w:r>
        <w:t>Entsprechend DIN EN 16798-1 wird für die Büroräume die Raumluftqualitätskategorie IDA 2 (mittlere Raumluftqualität) festgelegt. Dies entspricht einem CO₂-Gehalt von maximal 900 ppm über dem Außenluftniveau und gewährleistet eine hohe Zufriedenheit der Nutzer (≥ 80% zufriedene Personen).</w:t>
      </w:r>
    </w:p>
    <w:p>
      <w:r>
        <w:t>## A.6.2 RLT-Konzept</w:t>
      </w:r>
    </w:p>
    <w:p>
      <w:pPr>
        <w:pStyle w:val="Heading3"/>
      </w:pPr>
      <w:r>
        <w:t>Anlagenkonzept</w:t>
      </w:r>
    </w:p>
    <w:p>
      <w:r>
        <w:t>Das Lüftungskonzept sieht eine zentrale Raumlufttechnische Anlage vor, die in der Technikzentrale im Dachgeschoss positioniert wird. Die zentrale Lösung bietet Vorteile hinsichtlich Wartung, Energieeffizienz und Lärmschutz. Ergänzend werden für spezielle Bereiche wie Serverräume und Teeküchen dezentrale Lüftungsgeräte eingesetzt.</w:t>
      </w:r>
    </w:p>
    <w:p>
      <w:pPr>
        <w:pStyle w:val="Heading3"/>
      </w:pPr>
      <w:r>
        <w:t>Anlagenfunktionen</w:t>
      </w:r>
    </w:p>
    <w:p>
      <w:r>
        <w:t>Die Hauptlüftungsanlage wird als Nur-Luft-Anlage mit folgenden Funktionen ausgeführt:</w:t>
        <w:br/>
        <w:t>- Luftfilterung (Filterklasse F7 für Außenluft, F5 für Fortluft)</w:t>
        <w:br/>
        <w:t>- Lufterwärmung über Heizregister (Anbindung an Wärmeerzeugung)</w:t>
        <w:br/>
        <w:t>- Luftkühlung und Entfeuchtung über Kühlregister (Anbindung an Kälteerzeugung)</w:t>
        <w:br/>
        <w:t>- Luftbefeuchtung über Dampfbefeuchter (bei Bedarf in der Heizperiode)</w:t>
      </w:r>
    </w:p>
    <w:p>
      <w:pPr>
        <w:pStyle w:val="Heading3"/>
      </w:pPr>
      <w:r>
        <w:t>Wärmerückgewinnung</w:t>
      </w:r>
    </w:p>
    <w:p>
      <w:r>
        <w:t>Zur Energieeinsparung wird ein hocheffizienter Kreuzstrom-Plattenwärmetauscher mit einem Wärmerückgewinnungsgrad von ≥ 75% eingesetzt. Dies entspricht den Anforderungen der EnEV und trägt wesentlich zur Reduzierung der Heiz- und Kühllasten bei. Ein Bypass ermöglicht die freie Kühlung in den Übergangszeiten.</w:t>
      </w:r>
    </w:p>
    <w:p>
      <w:pPr>
        <w:pStyle w:val="Heading3"/>
      </w:pPr>
      <w:r>
        <w:t>Luftmengen und Betriebsweise</w:t>
      </w:r>
    </w:p>
    <w:p>
      <w:r>
        <w:t>Die Auslegungsluftmenge beträgt ca. 12.000 m³/h bei Vollbelegung. Das System arbeitet mit konstanten Volumenströmen, wobei eine bedarfsgerechte Regelung über CO₂-Sensoren in den Hauptnutzungsbereichen erfolgt. Dies ermöglicht eine Reduzierung der Luftmengen bei geringer Belegung um bis zu 50%.</w:t>
      </w:r>
    </w:p>
    <w:p>
      <w:pPr>
        <w:pStyle w:val="Heading3"/>
      </w:pPr>
      <w:r>
        <w:t>Regelungskonzept</w:t>
      </w:r>
    </w:p>
    <w:p>
      <w:r>
        <w:t>Die RLT-Anlage wird über eine DDC-Regelung (Direct Digital Control) gesteuert, die in das Gebäudeleitsystem integriert wird. Folgende Regelgrößen werden erfasst:</w:t>
        <w:br/>
        <w:t>- Raumtemperatur und -feuchte</w:t>
        <w:br/>
        <w:t>- CO₂-Konzentration</w:t>
        <w:br/>
        <w:t>- Außenluftqualität und -bedingungen</w:t>
        <w:br/>
        <w:t>- Filterdruckdifferenzen</w:t>
        <w:br/>
        <w:t>- Betriebsstunden und Störmeldungen</w:t>
      </w:r>
    </w:p>
    <w:p>
      <w:pPr>
        <w:pStyle w:val="Heading3"/>
      </w:pPr>
      <w:r>
        <w:t>Energieeffizienz</w:t>
      </w:r>
    </w:p>
    <w:p>
      <w:r>
        <w:t>Die spezifische Ventilatorleistung (SFP) wird entsprechend DIN EN 13779 in der Klasse SFP 2 (≤ 2,0 kW/(m³/s)) ausgelegt. Hocheffiziente EC-Ventilatoren mit automatischer Drehzahlregelung sorgen für einen energieoptimalen Betrieb.</w:t>
      </w:r>
    </w:p>
    <w:p>
      <w:r>
        <w:t>## A.6.3 Luftverteilung</w:t>
      </w:r>
    </w:p>
    <w:p>
      <w:pPr>
        <w:pStyle w:val="Heading3"/>
      </w:pPr>
      <w:r>
        <w:t>Luftführung und Kanalnetze</w:t>
      </w:r>
    </w:p>
    <w:p>
      <w:r>
        <w:t>Die Luftverteilung erfolgt über ein verzinktes Stahlblechkanalnetz mit rechteckigem Querschnitt in den Hauptsträngen und rundem Querschnitt in den Abzweigungen. Die Kanalführung ist primär in den abgehängten Decken der Flurbereiche vorgesehen. Vertikale Luftleitungen werden in eigens dafür vorgesehenen Installationsschächten geführt.</w:t>
      </w:r>
    </w:p>
    <w:p>
      <w:pPr>
        <w:pStyle w:val="Heading3"/>
      </w:pPr>
      <w:r>
        <w:t>Luftauslässe und -durchlässe</w:t>
      </w:r>
    </w:p>
    <w:p>
      <w:r>
        <w:t>In den Büroräumen kommen Drallauslässe mit einstellbaren Lamellen zum Einsatz, die eine zugfreie Luftverteilung gewährleisten. Besprechungsräume erhalten Quellluftsysteme mit Bodenauslässen für optimalen thermischen Komfort. Die Fortlufterfassung erfolgt über Tellerventile in den Verkehrsflächen und Sanitärräumen.</w:t>
      </w:r>
    </w:p>
    <w:p>
      <w:r>
        <w:t>Die Dimensionierung der Luftauslässe erfolgt nach den Kriterien der Raumluftströmung entsprechend DIN EN 16798-1, wobei Zugerscheinungen durch entsprechende Ausblasgeschwindigkeiten (≤ 0,15 m/s im Aufenthaltsbereich) vermieden werden.</w:t>
      </w:r>
    </w:p>
    <w:p>
      <w:r>
        <w:br w:type="page"/>
      </w:r>
    </w:p>
    <w:p>
      <w:pPr>
        <w:pStyle w:val="Heading1"/>
      </w:pPr>
      <w:r>
        <w:t>A.7 KG 440 - Elektroanlagen</w:t>
      </w:r>
    </w:p>
    <w:p>
      <w:r>
        <w:t># KG 440 - Elektroanlagen</w:t>
      </w:r>
    </w:p>
    <w:p>
      <w:r>
        <w:t xml:space="preserve">## </w:t>
      </w:r>
      <w:r>
        <w:rPr>
          <w:b/>
        </w:rPr>
        <w:t>A.7.1 Stromversorgung Allgemein</w:t>
      </w:r>
      <w:r/>
    </w:p>
    <w:p>
      <w:r/>
      <w:r>
        <w:rPr>
          <w:b/>
        </w:rPr>
        <w:t>Netzanschluss</w:t>
      </w:r>
      <w:r>
        <w:br/>
        <w:t>Die Stromversorgung des Bürogebäudes erfolgt über einen Mittelspannungsanschluss (20 kV) der Stadtwerke München mit nachgelagerter Transformatorstation. Die Übergabe erfolgt im Erdgeschoss über eine Niederspannungs-Hauptverteilung (NSHV) mit 400 V AC, 50 Hz.</w:t>
      </w:r>
    </w:p>
    <w:p>
      <w:r/>
      <w:r>
        <w:rPr>
          <w:b/>
        </w:rPr>
        <w:t>Leistungsbedarf</w:t>
      </w:r>
      <w:r>
        <w:br/>
        <w:t>Der ermittelte Anschlusswert beträgt ca. 350 kW bei einem Gleichzeitigkeitsfaktor von 0,7. Dies berücksichtigt Büroausstattung, Beleuchtung, RLT-Anlagen, Aufzüge und Nebenverbraucher. Die Leistungsreserve für künftige Erweiterungen beträgt 20%.</w:t>
      </w:r>
    </w:p>
    <w:p>
      <w:r/>
      <w:r>
        <w:rPr>
          <w:b/>
        </w:rPr>
        <w:t>Versorgungssicherheit</w:t>
      </w:r>
      <w:r>
        <w:br/>
        <w:t>Zur Gewährleistung der Versorgungssicherheit wird eine unterbrechungsfreie Stromversorgung (USV) mit 30 kVA für sicherheitsrelevante Verbraucher und IT-Systeme installiert. Ein Notstromaggregat (200 kVA) sichert die Grundversorgung bei längeren Netzausfällen.</w:t>
      </w:r>
    </w:p>
    <w:p>
      <w:r>
        <w:t xml:space="preserve">## </w:t>
      </w:r>
      <w:r>
        <w:rPr>
          <w:b/>
        </w:rPr>
        <w:t>A.7.2 Niederspannungshauptverteilung (NSHV)</w:t>
      </w:r>
      <w:r/>
    </w:p>
    <w:p>
      <w:r/>
      <w:r>
        <w:rPr>
          <w:b/>
        </w:rPr>
        <w:t>Standort</w:t>
      </w:r>
      <w:r>
        <w:br/>
        <w:t>Die NSHV wird im Untergeschoss in einem separaten Elektroraum mit direktem Zugang von außen installiert. Der Raum erfüllt die Anforderungen nach DIN VDE 0100-729 mit entsprechender Belüftung und Brandschutzmaßnahmen.</w:t>
      </w:r>
    </w:p>
    <w:p>
      <w:r/>
      <w:r>
        <w:rPr>
          <w:b/>
        </w:rPr>
        <w:t>Dimensionierung</w:t>
      </w:r>
      <w:r>
        <w:br/>
        <w:t>Die Hauptverteilung ist als Schaltanlage in IP54-Schutzart ausgeführt mit einer Bemessungsstromstärke von 630 A. Sie umfasst Hauptschalter, Messeinrichtungen, Überspannungsschutz Typ 1+2 sowie Abgänge für die Unterverteilungen.</w:t>
      </w:r>
    </w:p>
    <w:p>
      <w:r/>
      <w:r>
        <w:rPr>
          <w:b/>
        </w:rPr>
        <w:t>Unterverteilungen</w:t>
      </w:r>
      <w:r>
        <w:br/>
        <w:t>Pro Geschoss wird eine Etagenverteilung (UV) installiert. Zusätzlich sind separate Verteilungen für RLT-Anlagen, Aufzüge und Außenanlagen vorgesehen. Die Verkabelung erfolgt über NH-Sicherungen mit entsprechender Selektivität.</w:t>
      </w:r>
    </w:p>
    <w:p>
      <w:r>
        <w:t xml:space="preserve">## </w:t>
      </w:r>
      <w:r>
        <w:rPr>
          <w:b/>
        </w:rPr>
        <w:t>A.7.3 Niederspannungsinstallation</w:t>
      </w:r>
      <w:r/>
    </w:p>
    <w:p>
      <w:r/>
      <w:r>
        <w:rPr>
          <w:b/>
        </w:rPr>
        <w:t>Installationssystem</w:t>
      </w:r>
      <w:r>
        <w:br/>
        <w:t>Die Installation erfolgt als TN-S-System nach DIN VDE 0100-300. Alle Stromkreise werden fünfadrig (L1, L2, L3, N, PE) ausgeführt mit getrenntem Neutral- und Schutzleiter.</w:t>
      </w:r>
    </w:p>
    <w:p>
      <w:r/>
      <w:r>
        <w:rPr>
          <w:b/>
        </w:rPr>
        <w:t>Verlegearten</w:t>
      </w:r>
      <w:r>
        <w:br/>
        <w:t>Die Hauptleitungen werden in Elektroschächten und abgehängten Decken in Kabelpritschen verlegt. Die Feinverteilung erfolgt über Installationskanäle und Bodentanks. Alle Kabel entsprechen der Brandklasse Eca nach DIN EN 50575.</w:t>
      </w:r>
    </w:p>
    <w:p>
      <w:r/>
      <w:r>
        <w:rPr>
          <w:b/>
        </w:rPr>
        <w:t>FI/LS-Schutz</w:t>
      </w:r>
      <w:r>
        <w:br/>
        <w:t>Jeder Stromkreis wird durch Leitungsschutzschalter (LS) abgesichert. FI-Schutzschalter (30 mA) werden für alle Steckdosenstromkreise und Außenanlagen installiert. IT-Bereiche erhalten selektive FI-Schalter (300 mA) zur Vermeidung ungewollter Abschaltungen.</w:t>
      </w:r>
    </w:p>
    <w:p>
      <w:r>
        <w:t xml:space="preserve">## </w:t>
      </w:r>
      <w:r>
        <w:rPr>
          <w:b/>
        </w:rPr>
        <w:t>A.7.4 Beleuchtung</w:t>
      </w:r>
      <w:r/>
    </w:p>
    <w:p>
      <w:r/>
      <w:r>
        <w:rPr>
          <w:b/>
        </w:rPr>
        <w:t>Beleuchtungskonzept (LED)</w:t>
      </w:r>
      <w:r>
        <w:br/>
        <w:t>Die gesamte Beleuchtung wird mit LED-Leuchten ausgeführt. In Bürobereichen kommen Rasterleuchten mit UGR&lt;19 zum Einsatz, in Verkehrsflächen LED-Downlights und -Panels. Die mittlere Lebensdauer beträgt &gt;50.000 Stunden.</w:t>
      </w:r>
    </w:p>
    <w:p>
      <w:r/>
      <w:r>
        <w:rPr>
          <w:b/>
        </w:rPr>
        <w:t>Lichtsteuerung</w:t>
      </w:r>
      <w:r>
        <w:br/>
        <w:t>Die Beleuchtung wird über ein KNX-System gesteuert mit tageslichtabhängiger Regelung und Präsenzmeldern. Einzelarbeitsplätze erhalten manuelle Dimmmöglichkeiten. Die Steuerung erfolgt zonenweise entsprechend der Raumnutzung.</w:t>
      </w:r>
    </w:p>
    <w:p>
      <w:r/>
      <w:r>
        <w:rPr>
          <w:b/>
        </w:rPr>
        <w:t>Beleuchtungsstärken nach DIN EN 12464-1</w:t>
      </w:r>
      <w:r>
        <w:br/>
        <w:t>- Büroarbeitsplätze: 500 lx (Wartungswert)</w:t>
        <w:br/>
        <w:t>- Besprechungsräume: 500 lx</w:t>
        <w:br/>
        <w:t>- Verkehrsflächen: 100 lx</w:t>
        <w:br/>
        <w:t>- Treppenhäuser: 150 lx</w:t>
        <w:br/>
        <w:t>Die Gleichmäßigkeit beträgt mindestens 0,6.</w:t>
      </w:r>
    </w:p>
    <w:p>
      <w:r/>
      <w:r>
        <w:rPr>
          <w:b/>
        </w:rPr>
        <w:t>Notbeleuchtung</w:t>
      </w:r>
      <w:r>
        <w:br/>
        <w:t>Die Sicherheitsbeleuchtung wird als Einzelbatterieleuchten-System ausgeführt. Rettungswegleuchten mit 1 lx Mindestbeleuchtungsstärke markieren alle Flucht- und Rettungswege. Die Betriebsdauer beträgt 3 Stunden nach DIN VDE 0108-100.</w:t>
      </w:r>
    </w:p>
    <w:p>
      <w:r>
        <w:t xml:space="preserve">## </w:t>
      </w:r>
      <w:r>
        <w:rPr>
          <w:b/>
        </w:rPr>
        <w:t>A.7.5 Blitzschutz und Erdung</w:t>
      </w:r>
      <w:r/>
    </w:p>
    <w:p>
      <w:r/>
      <w:r>
        <w:rPr>
          <w:b/>
        </w:rPr>
        <w:t>Blitzschutzsystem nach DIN EN 62305</w:t>
      </w:r>
      <w:r>
        <w:br/>
        <w:t>Das Gebäude erhält ein Blitzschutzsystem der Klasse III mit Fangeinrichtungen auf dem Dach und Ableitungen an der Fassade. Die Maschenweite beträgt 20 m × 20 m. Alle metallischen Aufbauten werden in das System eingebunden.</w:t>
      </w:r>
    </w:p>
    <w:p>
      <w:r/>
      <w:r>
        <w:rPr>
          <w:b/>
        </w:rPr>
        <w:t>Potentialausgleich</w:t>
      </w:r>
      <w:r>
        <w:br/>
        <w:t>Ein Hauptpotentialausgleich verbindet alle leitfähigen Gebäudeteile im Fundamentbereich. Zusätzliche örtliche Potentialausgleiche werden in Nassbereichen und für IT-Anlagen installiert. Der Erdungswiderstand beträgt &lt;1 Ω.</w:t>
      </w:r>
    </w:p>
    <w:p>
      <w:r>
        <w:t xml:space="preserve">## </w:t>
      </w:r>
      <w:r>
        <w:rPr>
          <w:b/>
        </w:rPr>
        <w:t>A.7.6 Photovoltaik</w:t>
      </w:r>
      <w:r/>
    </w:p>
    <w:p>
      <w:r>
        <w:t>Auf dem Dach wird eine PV-Anlage mit 150 kWp installiert. Die Einspeisung erfolgt über Wechselrichter in das Gebäudenetz mit Überschusseinspeisung. Ein Energiemanagementsystem optimiert Eigenverbrauch und Netzeinspeisung entsprechend dem Lastgang des Bürobetriebs.</w:t>
      </w:r>
    </w:p>
    <w:p>
      <w:r>
        <w:br w:type="page"/>
      </w:r>
    </w:p>
    <w:p>
      <w:pPr>
        <w:pStyle w:val="Heading1"/>
      </w:pPr>
      <w:r>
        <w:t>A.8 KG 470 - Nutzungsspezifische Anlagen</w:t>
      </w:r>
    </w:p>
    <w:p>
      <w:r>
        <w:t># A.8 KG 470 - Nutzungsspezifische Anlagen</w:t>
      </w:r>
    </w:p>
    <w:p>
      <w:r>
        <w:t>## A.8.1 KG 474 - Feuerlöschanlagen</w:t>
      </w:r>
    </w:p>
    <w:p>
      <w:r>
        <w:t>Für das neue Bürogebäude am Hauptstandort München ist eine umfassende Feuerlöschanlage vorgesehen, die den aktuellen Brandschutzbestimmungen und der Bayerischen Bauordnung entspricht.</w:t>
      </w:r>
    </w:p>
    <w:p>
      <w:r/>
      <w:r>
        <w:rPr>
          <w:b/>
        </w:rPr>
        <w:t>Sprinkleranlage:</w:t>
      </w:r>
      <w:r>
        <w:br/>
        <w:t>Das Gebäude wird mit einer automatischen Sprinkleranlage nach DIN EN 12845 ausgestattet. Die Anlage deckt alle Bürobereiche, Flure, Technikräume und das Treppenhaus ab. Die Sprinklerköpfe werden als Trockensprinkler ausgeführt, um Frostschäden zu vermeiden. Die Wasserversorgung erfolgt über einen Sprinklertank mit entsprechender Druckerhöhungsanlage im Technikbereich.</w:t>
      </w:r>
    </w:p>
    <w:p>
      <w:r/>
      <w:r>
        <w:rPr>
          <w:b/>
        </w:rPr>
        <w:t>Wandhydranten:</w:t>
      </w:r>
      <w:r>
        <w:br/>
        <w:t>Ergänzend zur Sprinkleranlage werden Wandhydranten Typ F nach DIN 14461 in den Flurbereichen installiert. Diese ermöglichen eine manuelle Brandbekämpfung durch geschultes Personal und unterstützen die Feuerwehr bei Löscharbeiten. Die Wandhydranten werden an das Trinkwassernetz angeschlossen und mit entsprechenden Absperrventilen ausgerüstet.</w:t>
      </w:r>
    </w:p>
    <w:p>
      <w:r/>
      <w:r>
        <w:rPr>
          <w:b/>
        </w:rPr>
        <w:t>Brandschutzkonzept:</w:t>
      </w:r>
      <w:r>
        <w:br/>
        <w:t>Die Feuerlöschanlagen sind integraler Bestandteil des Brandschutzkonzepts und werden mit der Brandmeldeanlage (KG 461) gekoppelt. Bei Auslösung erfolgt eine automatische Alarmierung der örtlichen Feuerwehr.</w:t>
      </w:r>
    </w:p>
    <w:p>
      <w:r>
        <w:t>## A.8.2 Weitere nutzungsspezifische Anlagen</w:t>
      </w:r>
    </w:p>
    <w:p>
      <w:r/>
      <w:r>
        <w:rPr>
          <w:b/>
        </w:rPr>
        <w:t>Küchentechnik:</w:t>
      </w:r>
      <w:r>
        <w:br/>
        <w:t>Für die Büronutzung ist eine Teeküche mit grundlegender Küchentechnik vorgesehen, bestehend aus Spülmaschine, Kühlschrank und Mikrowellengeräten. Diese werden über separate Strom- und Wasseranschlüsse versorgt.</w:t>
      </w:r>
    </w:p>
    <w:p>
      <w:r>
        <w:t>Weitere nutzungsspezifische Anlagen wie Laborgasversorgung oder medizinische Gase sind für dieses Büroprojekt nicht relevant und daher nicht vorgesehen.</w:t>
      </w:r>
    </w:p>
    <w:p>
      <w:r>
        <w:br w:type="page"/>
      </w:r>
    </w:p>
    <w:p>
      <w:pPr>
        <w:pStyle w:val="Heading1"/>
      </w:pPr>
      <w:r>
        <w:t>A.9 KG 480 - Gebäudeautomation</w:t>
      </w:r>
    </w:p>
    <w:p>
      <w:r>
        <w:t># KG 480 - Gebäudeautomation (GA)</w:t>
      </w:r>
    </w:p>
    <w:p>
      <w:r>
        <w:t xml:space="preserve">## </w:t>
      </w:r>
      <w:r>
        <w:rPr>
          <w:b/>
        </w:rPr>
        <w:t>A.9.1 GA-Konzept</w:t>
      </w:r>
      <w:r/>
    </w:p>
    <w:p>
      <w:r>
        <w:t xml:space="preserve">Für das neue Bürogebäude am Hauptstandort München wird ein zukunftsorientiertes Gebäudeautomationssystem nach </w:t>
      </w:r>
      <w:r>
        <w:rPr>
          <w:b/>
        </w:rPr>
        <w:t>DIN EN ISO 16484</w:t>
      </w:r>
      <w:r>
        <w:t xml:space="preserve"> implementiert. Das System erreicht den </w:t>
      </w:r>
      <w:r>
        <w:rPr>
          <w:b/>
        </w:rPr>
        <w:t>Automationsgrad B</w:t>
      </w:r>
      <w:r>
        <w:t xml:space="preserve"> (erweiterte Gebäudeautomation) mit teilweise </w:t>
      </w:r>
      <w:r>
        <w:rPr>
          <w:b/>
        </w:rPr>
        <w:t>Grad A-Funktionen</w:t>
      </w:r>
      <w:r>
        <w:t xml:space="preserve"> (hochentwickelte Gebäudeautomation) für kritische Bereiche wie Serverräume und Konferenzräume.</w:t>
      </w:r>
    </w:p>
    <w:p>
      <w:r>
        <w:t xml:space="preserve">Das Herzstück bildet ein </w:t>
      </w:r>
      <w:r>
        <w:rPr>
          <w:b/>
        </w:rPr>
        <w:t>DDC-System (Direct Digital Control)</w:t>
      </w:r>
      <w:r>
        <w:t xml:space="preserve"> mit dezentraler Intelligenz, das eine flexible und energieeffiziente Gebäudebewirtschaftung ermöglicht. Als primäres Kommunikationsprotokoll wird </w:t>
      </w:r>
      <w:r>
        <w:rPr>
          <w:b/>
        </w:rPr>
        <w:t>BACnet/IP</w:t>
      </w:r>
      <w:r>
        <w:t xml:space="preserve"> eingesetzt, ergänzt durch </w:t>
      </w:r>
      <w:r>
        <w:rPr>
          <w:b/>
        </w:rPr>
        <w:t>KNX/EIB</w:t>
      </w:r>
      <w:r>
        <w:t xml:space="preserve"> für die Raumautomation. Diese Protokollkombination gewährleistet maximale Interoperabilität und zukunftssichere Erweiterbarkeit gemäß </w:t>
      </w:r>
      <w:r>
        <w:rPr>
          <w:b/>
        </w:rPr>
        <w:t>VDI 3814</w:t>
      </w:r>
      <w:r>
        <w:t>.</w:t>
      </w:r>
    </w:p>
    <w:p>
      <w:r>
        <w:t xml:space="preserve">Die Systemarchitektur folgt einem </w:t>
      </w:r>
      <w:r>
        <w:rPr>
          <w:b/>
        </w:rPr>
        <w:t>dreistufigen Hierarchiemodell</w:t>
      </w:r>
      <w:r>
        <w:t>: Managementebene (Gebäudeleittechnik), Automationsebene (DDC-Stationen) und Feldebene (Sensoren/Aktoren). Redundante Kommunikationswege und dezentrale Datenhaltung sichern einen ausfallsicheren Betrieb.</w:t>
      </w:r>
    </w:p>
    <w:p>
      <w:r>
        <w:t xml:space="preserve">## </w:t>
      </w:r>
      <w:r>
        <w:rPr>
          <w:b/>
        </w:rPr>
        <w:t>A.9.2 Funktionen</w:t>
      </w:r>
      <w:r/>
    </w:p>
    <w:p>
      <w:r>
        <w:t xml:space="preserve">Die </w:t>
      </w:r>
      <w:r>
        <w:rPr>
          <w:b/>
        </w:rPr>
        <w:t>Einzelraumregelung</w:t>
      </w:r>
      <w:r>
        <w:t xml:space="preserve"> umfasst alle Büro- und Besprechungsräume mit intelligenten Raumcontrollern. Diese steuern Temperatur, Luftqualität, Beleuchtung und Sonnenschutz bedarfsgerecht. Präsenzmelder und CO₂-Sensoren optimieren den Energieverbrauch durch adaptive Regelstrategien.</w:t>
      </w:r>
    </w:p>
    <w:p>
      <w:r>
        <w:t xml:space="preserve">Die zentrale </w:t>
      </w:r>
      <w:r>
        <w:rPr>
          <w:b/>
        </w:rPr>
        <w:t>Anlagenregelung</w:t>
      </w:r>
      <w:r>
        <w:t xml:space="preserve"> koordiniert alle TGA-Gewerke: RLT-Anlagen mit Wärmerückgewinnung, Heizungs- und Kühlsysteme sowie die Beleuchtungssteuerung. Intelligente Algorithmen sorgen für optimale Betriebsführung unter Berücksichtigung von Außenklima, Nutzungszeiten und Energiekosten.</w:t>
      </w:r>
    </w:p>
    <w:p>
      <w:r>
        <w:t xml:space="preserve">Das integrierte </w:t>
      </w:r>
      <w:r>
        <w:rPr>
          <w:b/>
        </w:rPr>
        <w:t>Energiemanagement</w:t>
      </w:r>
      <w:r>
        <w:t xml:space="preserve"> erfasst kontinuierlich alle Verbrauchsdaten und erstellt automatisierte Reports. Lastspitzen werden durch prädiktive Regelung vermieden, regenerative Energien optimal eingebunden. Die webbasierte </w:t>
      </w:r>
      <w:r>
        <w:rPr>
          <w:b/>
        </w:rPr>
        <w:t>Visualisierung</w:t>
      </w:r>
      <w:r>
        <w:t xml:space="preserve"> ermöglicht intuitive Bedienung und umfassende Betriebsüberwachung mit Trend- und Alarmfunktionen.</w:t>
      </w:r>
    </w:p>
    <w:p>
      <w:r>
        <w:t xml:space="preserve">Der sichere </w:t>
      </w:r>
      <w:r>
        <w:rPr>
          <w:b/>
        </w:rPr>
        <w:t>Fernzugriff</w:t>
      </w:r>
      <w:r>
        <w:t xml:space="preserve"> über VPN-Verbindung erlaubt Facility Management und Servicetechnikern eine effiziente Fernwartung und -diagnose rund um die Uhr.</w:t>
      </w:r>
    </w:p>
    <w:p>
      <w:r>
        <w:t xml:space="preserve">## </w:t>
      </w:r>
      <w:r>
        <w:rPr>
          <w:b/>
        </w:rPr>
        <w:t>A.9.3 Integration</w:t>
      </w:r>
      <w:r/>
    </w:p>
    <w:p>
      <w:r>
        <w:t xml:space="preserve">Alle TGA-Anlagen werden über standardisierte </w:t>
      </w:r>
      <w:r>
        <w:rPr>
          <w:b/>
        </w:rPr>
        <w:t>Schnittstellen</w:t>
      </w:r>
      <w:r>
        <w:t xml:space="preserve"> nahtlos integriert: Brandmeldeanlage, Sicherheitstechnik, Aufzugssteuerung und IT-Infrastruktur. Die Gebäudeautomation fungiert als zentrale Kommunikationsplattform für alle technischen Gewerke.</w:t>
      </w:r>
    </w:p>
    <w:p>
      <w:r>
        <w:t xml:space="preserve">Das </w:t>
      </w:r>
      <w:r>
        <w:rPr>
          <w:b/>
        </w:rPr>
        <w:t>Alarmierungssystem</w:t>
      </w:r>
      <w:r>
        <w:t xml:space="preserve"> differenziert nach Prioritäten und informiert automatisch die zuständigen Personen per E-Mail, SMS oder App-Benachrichtigung. Störungen werden mit Handlungsempfehlungen und Eskalationsstufen verwaltet.</w:t>
      </w:r>
    </w:p>
    <w:p>
      <w:r>
        <w:t xml:space="preserve">Flexible </w:t>
      </w:r>
      <w:r>
        <w:rPr>
          <w:b/>
        </w:rPr>
        <w:t>Zeitprogramme</w:t>
      </w:r>
      <w:r>
        <w:t xml:space="preserve"> berücksichtigen individuelle Nutzungsprofile verschiedener Gebäudebereiche. Feiertags- und Sonderregelungen werden automatisch aktiviert. Die Anbindung an das Buchungssystem ermöglicht eine bedarfsorientierte Konditionierung von Besprechungsräumen.</w:t>
      </w:r>
    </w:p>
    <w:p>
      <w:r>
        <w:t xml:space="preserve">Das GA-System wird als </w:t>
      </w:r>
      <w:r>
        <w:rPr>
          <w:b/>
        </w:rPr>
        <w:t>Smart-Building-Ready-Plattform</w:t>
      </w:r>
      <w:r>
        <w:t xml:space="preserve"> konzipiert und ermöglicht zukünftige Erweiterungen um IoT-Anwendungen und KI-basierte Optimierungsalgorithmen.</w:t>
      </w:r>
    </w:p>
    <w:p>
      <w:r>
        <w:br w:type="page"/>
      </w:r>
    </w:p>
    <w:p>
      <w:pPr>
        <w:pStyle w:val="Heading1"/>
      </w:pPr>
      <w:r>
        <w:t>B. Kostenschätzung</w:t>
      </w:r>
    </w:p>
    <w:p>
      <w:r>
        <w:t>Die Kostenschätzung erfolgt auf Grundlage von:</w:t>
        <w:br/>
        <w:t>- BKI Baukosteninformation (aktuelle Indices)</w:t>
        <w:br/>
        <w:t xml:space="preserve">- Erfahrungswerten aus vergleichbaren Projekten  </w:t>
        <w:br/>
        <w:t>- Herstellerangaben für Großkomponenten</w:t>
        <w:br/>
        <w:t>- Pauschalansätzen für Kleinteile</w:t>
      </w:r>
    </w:p>
    <w:p>
      <w:r/>
      <w:r>
        <w:rPr>
          <w:b/>
        </w:rPr>
        <w:t>Kostenschätzung nach DIN 276</w:t>
      </w:r>
      <w:r>
        <w:t xml:space="preserve"> (vorläufig, Genauigkeit ±30%):</w:t>
      </w:r>
    </w:p>
    <w:p>
      <w:pPr>
        <w:pStyle w:val="ListBullet"/>
      </w:pPr>
      <w:r>
        <w:t>KG 410 Sanitär: [zu ermitteln] €</w:t>
        <w:br/>
        <w:t>- KG 420 Wärmeversorgung: [zu ermitteln] €</w:t>
        <w:br/>
        <w:t>- KG 434 Kälte: [zu ermitteln] €</w:t>
        <w:br/>
        <w:t>- KG 430 Lüftung: [zu ermitteln] €</w:t>
        <w:br/>
        <w:t>- KG 440 Elektro: [zu ermitteln] €</w:t>
        <w:br/>
        <w:t>- KG 470 Nutzungsspez.: [zu ermitteln] €</w:t>
        <w:br/>
        <w:t>- KG 480 Gebäudeautomation: [zu ermitteln] €</w:t>
      </w:r>
    </w:p>
    <w:p>
      <w:r/>
      <w:r>
        <w:rPr>
          <w:b/>
        </w:rPr>
        <w:t>Summe TGA (KG 400)</w:t>
      </w:r>
      <w:r>
        <w:t>: [zu ermitteln] € (netto)</w:t>
      </w:r>
    </w:p>
    <w:p>
      <w:r>
        <w:t>Die detaillierte Kostenschätzung wird in der nächsten Bearbeitungsphase erstellt.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