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left"/>
      </w:pPr>
      <w:r>
        <w:rPr>
          <w:rFonts w:ascii="Aptos Display" w:hAnsi="Aptos Display"/>
          <w:b/>
          <w:color w:val="143652"/>
          <w:sz w:val="60"/>
        </w:rPr>
        <w:t>PERSONALISED</w:t>
        <w:br/>
        <w:t>LEARNING SYSTEM</w:t>
      </w:r>
    </w:p>
    <w:p>
      <w:pPr>
        <w:spacing w:before="80"/>
      </w:pPr>
      <w:r>
        <w:rPr>
          <w:color w:val="007378"/>
          <w:sz w:val="32"/>
        </w:rPr>
        <w:t>Research findings, proposed concept and team discussion brief</w:t>
      </w:r>
    </w:p>
    <w:p>
      <w:pPr>
        <w:spacing w:before="360"/>
      </w:pPr>
      <w:r>
        <w:rPr>
          <w:b/>
        </w:rPr>
        <w:t xml:space="preserve">Working title: </w:t>
      </w:r>
      <w:r>
        <w:t>Design and Evaluation of a Mastery-Based Adaptive Learning System for Independent Problem-Solving in University Mathematics and Programming</w:t>
      </w:r>
    </w:p>
    <w:p/>
    <w:tbl>
      <w:tblPr>
        <w:tblW w:type="auto" w:w="0"/>
        <w:jc w:val="left"/>
        <w:tblLook w:firstColumn="1" w:firstRow="1" w:lastColumn="0" w:lastRow="0" w:noHBand="0" w:noVBand="1" w:val="04A0"/>
      </w:tblPr>
      <w:tblGrid>
        <w:gridCol w:w="9936"/>
      </w:tblGrid>
      <w:tr>
        <w:tc>
          <w:tcPr>
            <w:tcW w:type="dxa" w:w="9936"/>
            <w:shd w:fill="EAF3F5"/>
          </w:tcPr>
          <w:p>
            <w:pPr>
              <w:spacing w:after="40"/>
            </w:pPr>
            <w:r/>
            <w:r>
              <w:rPr>
                <w:b/>
                <w:color w:val="007378"/>
                <w:sz w:val="22"/>
              </w:rPr>
              <w:t>THE CENTRAL IDEA</w:t>
              <w:br/>
            </w:r>
            <w:r>
              <w:rPr>
                <w:color w:val="143652"/>
                <w:sz w:val="24"/>
              </w:rPr>
              <w:t>Use AI to support learning, but use students’ own demonstrated performance—not AI activity or content consumption—as the main evidence of learning.</w:t>
            </w:r>
          </w:p>
        </w:tc>
      </w:tr>
    </w:tbl>
    <w:p/>
    <w:p>
      <w:r>
        <w:rPr>
          <w:b/>
        </w:rPr>
        <w:t>Purpose of this document</w:t>
      </w:r>
    </w:p>
    <w:p>
      <w:r>
        <w:t>A concise, discussion-ready summary of the research direction, candidate gap, proposed research questions, system design, minimum viable product (MVP), evaluation plan, risks, and decisions the team needs to make.</w:t>
      </w:r>
    </w:p>
    <w:p>
      <w:r>
        <w:rPr>
          <w:b/>
        </w:rPr>
        <w:t xml:space="preserve">Status: </w:t>
      </w:r>
      <w:r>
        <w:t>Early-stage research concept. The proposed gap and novelty claim must be verified through a focused literature search before being presented as established.</w:t>
      </w:r>
    </w:p>
    <w:p>
      <w:r>
        <w:br w:type="page"/>
      </w:r>
    </w:p>
    <w:p>
      <w:pPr>
        <w:pStyle w:val="Heading1"/>
      </w:pPr>
      <w:r>
        <w:t>1. Executive summary</w:t>
      </w:r>
    </w:p>
    <w:p>
      <w:r>
        <w:t>We propose a cognitive learning engine for university students studying technical subjects. It combines mastery tracking, retrieval practice, spaced review, adaptive sequencing, and scaffolded AI hints. The system’s defining goal is to help students become more independent problem-solvers who retain and apply knowledge without needing AI to supply every answer.</w:t>
      </w:r>
    </w:p>
    <w:p>
      <w:r>
        <w:t>The recommended first study is deliberately narrow: build and evaluate a prototype for one subject—preferably introductory programming or mathematics—rather than attempting to support every course at once.</w:t>
      </w:r>
    </w:p>
    <w:p>
      <w:pPr>
        <w:pStyle w:val="ListBullet"/>
        <w:spacing w:after="40"/>
      </w:pPr>
      <w:r>
        <w:t>Research focus: independent problem-solving and responsible AI use.</w:t>
      </w:r>
    </w:p>
    <w:p>
      <w:pPr>
        <w:pStyle w:val="ListBullet"/>
        <w:spacing w:after="40"/>
      </w:pPr>
      <w:r>
        <w:t>Learning mechanisms: retrieval practice, spaced practice, prerequisite-aware sequencing, feedback and progressive hints.</w:t>
      </w:r>
    </w:p>
    <w:p>
      <w:pPr>
        <w:pStyle w:val="ListBullet"/>
        <w:spacing w:after="40"/>
      </w:pPr>
      <w:r>
        <w:t>Key design principle: an AI explanation is not proof that a student has learned; follow assistance with independent practice.</w:t>
      </w:r>
    </w:p>
    <w:p>
      <w:pPr>
        <w:pStyle w:val="ListBullet"/>
        <w:spacing w:after="40"/>
      </w:pPr>
      <w:r>
        <w:t>Proposed contribution: design and evaluate a transparent learning policy that adapts practice while encouraging unaided attempts and delayed review.</w:t>
      </w:r>
    </w:p>
    <w:p>
      <w:pPr>
        <w:pStyle w:val="ListBullet"/>
        <w:spacing w:after="40"/>
      </w:pPr>
      <w:r>
        <w:t>Evidence status: foundational research supports the individual mechanisms, but the integrated system’s impact remains an empirical question.</w:t>
      </w:r>
    </w:p>
    <w:p>
      <w:pPr>
        <w:pStyle w:val="Heading1"/>
      </w:pPr>
      <w:r>
        <w:t>2. The problem we want to address</w:t>
      </w:r>
    </w:p>
    <w:p>
      <w:r>
        <w:t>AI tutors can make explanations and solutions easy to obtain. However, successful task completion with AI may not mean that a student can later recall, explain, or apply the concept independently. Meanwhile, adaptive learning systems can personalise content, but a research project should test whether their design builds durable knowledge and learner independence—not merely engagement or satisfaction.</w:t>
      </w:r>
    </w:p>
    <w:p>
      <w:pPr>
        <w:pStyle w:val="Heading2"/>
      </w:pPr>
      <w:r>
        <w:t>Proposed problem statement</w:t>
      </w:r>
    </w:p>
    <w:p>
      <w:r>
        <w:t>University students increasingly have access to AI assistance, yet it remains important to understand how learning systems can combine adaptive practice and AI support in ways that develop independent problem-solving and delayed retention. This project will design and evaluate a mastery-based learning prototype that adjusts practice and assistance based on evidence of student performance.</w:t>
      </w:r>
    </w:p>
    <w:p>
      <w:pPr>
        <w:pStyle w:val="Heading1"/>
      </w:pPr>
      <w:r>
        <w:t>3. Research foundation: what prior work supports</w:t>
      </w:r>
    </w:p>
    <w:p>
      <w:pPr>
        <w:spacing w:after="20"/>
      </w:pPr>
      <w:r>
        <w:rPr>
          <w:b/>
        </w:rPr>
        <w:t>Dunlosky et al. (2013) — effective learning techniques</w:t>
      </w:r>
    </w:p>
    <w:p>
      <w:r>
        <w:t>The review identifies practice testing and distributed practice as broadly useful techniques. This supports retrieval practice and spaced review as core features.</w:t>
      </w:r>
    </w:p>
    <w:p>
      <w:pPr>
        <w:spacing w:after="100"/>
      </w:pPr>
      <w:r>
        <w:rPr>
          <w:color w:val="006699"/>
          <w:sz w:val="18"/>
        </w:rPr>
        <w:t>https://doi.org/10.1111/j.1539-6053.2013.01025.x</w:t>
      </w:r>
    </w:p>
    <w:p>
      <w:pPr>
        <w:spacing w:after="20"/>
      </w:pPr>
      <w:r>
        <w:rPr>
          <w:b/>
        </w:rPr>
        <w:t>Roediger &amp; Karpicke (2006) — test-enhanced learning</w:t>
      </w:r>
    </w:p>
    <w:p>
      <w:r>
        <w:t>Experiments showed that retrieval testing can improve delayed retention compared with repeated study in the investigated conditions.</w:t>
      </w:r>
    </w:p>
    <w:p>
      <w:pPr>
        <w:spacing w:after="100"/>
      </w:pPr>
      <w:r>
        <w:rPr>
          <w:color w:val="006699"/>
          <w:sz w:val="18"/>
        </w:rPr>
        <w:t>https://doi.org/10.1111/j.1467-9280.2006.01693.x</w:t>
      </w:r>
    </w:p>
    <w:p>
      <w:pPr>
        <w:spacing w:after="20"/>
      </w:pPr>
      <w:r>
        <w:rPr>
          <w:b/>
        </w:rPr>
        <w:t>Kulik &amp; Fletcher (2016) — intelligent tutoring systems</w:t>
      </w:r>
    </w:p>
    <w:p>
      <w:r>
        <w:t>A meta-analytic review of 50 controlled evaluations reported generally positive learning effects, while noting that outcomes depend on measurement and implementation.</w:t>
      </w:r>
    </w:p>
    <w:p>
      <w:pPr>
        <w:spacing w:after="100"/>
      </w:pPr>
      <w:r>
        <w:rPr>
          <w:color w:val="006699"/>
          <w:sz w:val="18"/>
        </w:rPr>
        <w:t>https://doi.org/10.3102/0034654315581420</w:t>
      </w:r>
    </w:p>
    <w:p>
      <w:pPr>
        <w:spacing w:after="20"/>
      </w:pPr>
      <w:r>
        <w:rPr>
          <w:b/>
        </w:rPr>
        <w:t>Darvishi et al. (2024) — AI assistance and student agency</w:t>
      </w:r>
    </w:p>
    <w:p>
      <w:r>
        <w:t>A study involving 1,625 students across ten courses cautions that students may rely on AI assistance rather than necessarily learning from it. Its findings should not be assumed to generalise directly to every subject or tutoring design.</w:t>
      </w:r>
    </w:p>
    <w:p>
      <w:pPr>
        <w:spacing w:after="100"/>
      </w:pPr>
      <w:r>
        <w:rPr>
          <w:color w:val="006699"/>
          <w:sz w:val="18"/>
        </w:rPr>
        <w:t>https://doi.org/10.1016/j.compedu.2023.104967</w:t>
      </w:r>
    </w:p>
    <w:p>
      <w:pPr>
        <w:spacing w:after="20"/>
      </w:pPr>
      <w:r>
        <w:rPr>
          <w:b/>
        </w:rPr>
        <w:t>Merino-Campos (2025) — AI and personalised learning in higher education</w:t>
      </w:r>
    </w:p>
    <w:p>
      <w:r>
        <w:t>A systematic review discusses benefits and challenges of AI-supported personalised learning, including privacy, access and implementation considerations.</w:t>
      </w:r>
    </w:p>
    <w:p>
      <w:pPr>
        <w:spacing w:after="100"/>
      </w:pPr>
      <w:r>
        <w:rPr>
          <w:color w:val="006699"/>
          <w:sz w:val="18"/>
        </w:rPr>
        <w:t>https://doi.org/10.3390/higheredu4020017</w:t>
      </w:r>
    </w:p>
    <w:p>
      <w:r>
        <w:rPr>
          <w:b/>
        </w:rPr>
        <w:t xml:space="preserve">Interpretation: </w:t>
      </w:r>
      <w:r>
        <w:t>These sources support the building blocks, not the claim that combining them will automatically work. The system’s effectiveness and its contribution to independence must be tested.</w:t>
      </w:r>
    </w:p>
    <w:p>
      <w:pPr>
        <w:pStyle w:val="Heading1"/>
      </w:pPr>
      <w:r>
        <w:t>4. Candidate research gap and novelty</w:t>
      </w:r>
    </w:p>
    <w:p>
      <w:pPr>
        <w:pStyle w:val="Heading2"/>
      </w:pPr>
      <w:r>
        <w:t>Candidate gap</w:t>
      </w:r>
    </w:p>
    <w:p>
      <w:r>
        <w:t>How can a mastery-based adaptive learning system combine retrieval practice, spaced review and progressively scaffolded AI assistance to improve university students’ independent problem-solving and delayed knowledge retention?</w:t>
      </w:r>
    </w:p>
    <w:p>
      <w:pPr>
        <w:pStyle w:val="Heading2"/>
      </w:pPr>
      <w:r>
        <w:t>What may be distinctive</w:t>
      </w:r>
    </w:p>
    <w:p>
      <w:pPr>
        <w:pStyle w:val="ListBullet"/>
        <w:spacing w:after="40"/>
      </w:pPr>
      <w:r>
        <w:t>Mastery estimates are updated from student performance, not from the AI’s confidence or the mere delivery of an explanation.</w:t>
      </w:r>
    </w:p>
    <w:p>
      <w:pPr>
        <w:pStyle w:val="ListBullet"/>
        <w:spacing w:after="40"/>
      </w:pPr>
      <w:r>
        <w:t>Students are encouraged to attempt a problem before receiving increasingly specific hints.</w:t>
      </w:r>
    </w:p>
    <w:p>
      <w:pPr>
        <w:pStyle w:val="ListBullet"/>
        <w:spacing w:after="40"/>
      </w:pPr>
      <w:r>
        <w:t>Assisted practice is followed by comparable unaided questions to check whether learning occurred.</w:t>
      </w:r>
    </w:p>
    <w:p>
      <w:pPr>
        <w:pStyle w:val="ListBullet"/>
        <w:spacing w:after="40"/>
      </w:pPr>
      <w:r>
        <w:t>Review scheduling and next-topic selection are separate decisions: one supports retention; the other supports progression.</w:t>
      </w:r>
    </w:p>
    <w:p>
      <w:pPr>
        <w:pStyle w:val="ListBullet"/>
        <w:spacing w:after="40"/>
      </w:pPr>
      <w:r>
        <w:t>The evaluation prioritises independent and delayed assessment rather than usage time or satisfaction alone.</w:t>
      </w:r>
    </w:p>
    <w:p>
      <w:r>
        <w:t>Novelty caveat: adaptive tutoring, retrieval practice, spaced repetition and AI scaffolding already exist. The potential contribution lies in the specific integrated design, its learning policy, its target context and its controlled evaluation. A focused review of recent primary studies is required before claiming that this combination is new.</w:t>
      </w:r>
    </w:p>
    <w:p>
      <w:pPr>
        <w:pStyle w:val="Heading1"/>
      </w:pPr>
      <w:r>
        <w:t>5. Proposed title, research questions and hypotheses</w:t>
      </w:r>
    </w:p>
    <w:p>
      <w:pPr>
        <w:pStyle w:val="Heading2"/>
      </w:pPr>
      <w:r>
        <w:t>Working title</w:t>
      </w:r>
    </w:p>
    <w:p>
      <w:r>
        <w:t>Design and Evaluation of a Mastery-Based Adaptive Learning System for Independent Problem-Solving in University Mathematics and Programming</w:t>
      </w:r>
    </w:p>
    <w:p>
      <w:pPr>
        <w:pStyle w:val="Heading2"/>
      </w:pPr>
      <w:r>
        <w:t>Research questions</w:t>
      </w:r>
    </w:p>
    <w:p>
      <w:pPr>
        <w:pStyle w:val="ListNumber"/>
        <w:spacing w:after="40"/>
      </w:pPr>
      <w:r>
        <w:t>RQ1: How does mastery-based adaptive practice with scaffolded AI assistance affect students’ independent problem-solving compared with conventional AI-assisted study?</w:t>
      </w:r>
    </w:p>
    <w:p>
      <w:pPr>
        <w:pStyle w:val="ListNumber"/>
        <w:spacing w:after="40"/>
      </w:pPr>
      <w:r>
        <w:t>RQ2: How does the proposed system affect delayed knowledge retention?</w:t>
      </w:r>
    </w:p>
    <w:p>
      <w:pPr>
        <w:pStyle w:val="ListNumber"/>
        <w:spacing w:after="40"/>
      </w:pPr>
      <w:r>
        <w:t>RQ3: How do AI-hint use, unaided attempts and mastery estimates change during the intervention?</w:t>
      </w:r>
    </w:p>
    <w:p>
      <w:pPr>
        <w:pStyle w:val="ListNumber"/>
        <w:spacing w:after="40"/>
      </w:pPr>
      <w:r>
        <w:t>RQ4: How do students perceive the usefulness, trustworthiness and intrusiveness of the system’s adaptive decisions?</w:t>
      </w:r>
    </w:p>
    <w:p>
      <w:pPr>
        <w:pStyle w:val="Heading2"/>
      </w:pPr>
      <w:r>
        <w:t>Proposed hypotheses</w:t>
      </w:r>
    </w:p>
    <w:p>
      <w:pPr>
        <w:pStyle w:val="ListBullet"/>
        <w:spacing w:after="40"/>
      </w:pPr>
      <w:r>
        <w:t>H1: The intervention group will achieve higher independent problem-solving scores than the comparison group.</w:t>
      </w:r>
    </w:p>
    <w:p>
      <w:pPr>
        <w:pStyle w:val="ListBullet"/>
        <w:spacing w:after="40"/>
      </w:pPr>
      <w:r>
        <w:t>H2: The intervention group will achieve higher delayed retention scores.</w:t>
      </w:r>
    </w:p>
    <w:p>
      <w:pPr>
        <w:pStyle w:val="ListBullet"/>
        <w:spacing w:after="40"/>
      </w:pPr>
      <w:r>
        <w:t>H3: The intervention group will show greater improvement from baseline in unaided performance.</w:t>
      </w:r>
    </w:p>
    <w:p>
      <w:pPr>
        <w:pStyle w:val="ListBullet"/>
        <w:spacing w:after="40"/>
      </w:pPr>
      <w:r>
        <w:t>H4: Students who demonstrate stronger mastery will require less assistance on subsequent comparable tasks.</w:t>
      </w:r>
    </w:p>
    <w:p>
      <w:r>
        <w:t>These are testable hypotheses, not predicted or guaranteed results. Fewer AI requests alone should not be treated as evidence of independence.</w:t>
      </w:r>
    </w:p>
    <w:p>
      <w:pPr>
        <w:pStyle w:val="Heading1"/>
      </w:pPr>
      <w:r>
        <w:t>6. Proposed system architecture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3652"/>
          </w:tcPr>
          <w:p>
            <w:pPr>
              <w:spacing w:after="20"/>
            </w:pPr>
            <w:r/>
            <w:r>
              <w:rPr>
                <w:rFonts w:ascii="Aptos" w:hAnsi="Aptos"/>
                <w:b/>
                <w:color w:val="FFFFFF"/>
                <w:sz w:val="18"/>
              </w:rPr>
              <w:t>Component</w:t>
            </w:r>
          </w:p>
        </w:tc>
        <w:tc>
          <w:tcPr>
            <w:tcW w:type="dxa" w:w="4968"/>
            <w:vAlign w:val="center"/>
            <w:shd w:fill="143652"/>
          </w:tcPr>
          <w:p>
            <w:pPr>
              <w:spacing w:after="20"/>
            </w:pPr>
            <w:r/>
            <w:r>
              <w:rPr>
                <w:rFonts w:ascii="Aptos" w:hAnsi="Aptos"/>
                <w:b/>
                <w:color w:val="FFFFFF"/>
                <w:sz w:val="18"/>
              </w:rPr>
              <w:t>Responsibility</w:t>
            </w:r>
          </w:p>
        </w:tc>
      </w:tr>
      <w:tr>
        <w:tc>
          <w:tcPr>
            <w:tcW w:type="dxa" w:w="4968"/>
            <w:vAlign w:val="center"/>
          </w:tcPr>
          <w:p>
            <w:pPr>
              <w:spacing w:after="20"/>
            </w:pPr>
            <w:r/>
            <w:r>
              <w:rPr>
                <w:rFonts w:ascii="Aptos" w:hAnsi="Aptos"/>
                <w:b/>
                <w:sz w:val="18"/>
              </w:rPr>
              <w:t>Student interface</w:t>
            </w:r>
          </w:p>
        </w:tc>
        <w:tc>
          <w:tcPr>
            <w:tcW w:type="dxa" w:w="4968"/>
            <w:vAlign w:val="center"/>
          </w:tcPr>
          <w:p>
            <w:pPr>
              <w:spacing w:after="20"/>
            </w:pPr>
            <w:r/>
            <w:r>
              <w:rPr>
                <w:rFonts w:ascii="Aptos" w:hAnsi="Aptos"/>
                <w:b w:val="0"/>
                <w:sz w:val="18"/>
              </w:rPr>
              <w:t>Goals, questions, answers, hints, feedback, progress and explanations of recommendations.</w:t>
            </w:r>
          </w:p>
        </w:tc>
      </w:tr>
      <w:tr>
        <w:tc>
          <w:tcPr>
            <w:tcW w:type="dxa" w:w="4968"/>
            <w:vAlign w:val="center"/>
          </w:tcPr>
          <w:p>
            <w:pPr>
              <w:spacing w:after="20"/>
            </w:pPr>
            <w:r/>
            <w:r>
              <w:rPr>
                <w:rFonts w:ascii="Aptos" w:hAnsi="Aptos"/>
                <w:b/>
                <w:sz w:val="18"/>
              </w:rPr>
              <w:t>Learning orchestration service</w:t>
            </w:r>
          </w:p>
        </w:tc>
        <w:tc>
          <w:tcPr>
            <w:tcW w:type="dxa" w:w="4968"/>
            <w:vAlign w:val="center"/>
          </w:tcPr>
          <w:p>
            <w:pPr>
              <w:spacing w:after="20"/>
            </w:pPr>
            <w:r/>
            <w:r>
              <w:rPr>
                <w:rFonts w:ascii="Aptos" w:hAnsi="Aptos"/>
                <w:b w:val="0"/>
                <w:sz w:val="18"/>
              </w:rPr>
              <w:t>Controls the learning loop: records attempts, selects activities and applies assistance rules.</w:t>
            </w:r>
          </w:p>
        </w:tc>
      </w:tr>
      <w:tr>
        <w:tc>
          <w:tcPr>
            <w:tcW w:type="dxa" w:w="4968"/>
            <w:vAlign w:val="center"/>
          </w:tcPr>
          <w:p>
            <w:pPr>
              <w:spacing w:after="20"/>
            </w:pPr>
            <w:r/>
            <w:r>
              <w:rPr>
                <w:rFonts w:ascii="Aptos" w:hAnsi="Aptos"/>
                <w:b/>
                <w:sz w:val="18"/>
              </w:rPr>
              <w:t>Learner model</w:t>
            </w:r>
          </w:p>
        </w:tc>
        <w:tc>
          <w:tcPr>
            <w:tcW w:type="dxa" w:w="4968"/>
            <w:vAlign w:val="center"/>
          </w:tcPr>
          <w:p>
            <w:pPr>
              <w:spacing w:after="20"/>
            </w:pPr>
            <w:r/>
            <w:r>
              <w:rPr>
                <w:rFonts w:ascii="Aptos" w:hAnsi="Aptos"/>
                <w:b w:val="0"/>
                <w:sz w:val="18"/>
              </w:rPr>
              <w:t>Stores topic-level mastery estimates, recent errors, attempt history and optional confidence ratings.</w:t>
            </w:r>
          </w:p>
        </w:tc>
      </w:tr>
      <w:tr>
        <w:tc>
          <w:tcPr>
            <w:tcW w:type="dxa" w:w="4968"/>
            <w:vAlign w:val="center"/>
          </w:tcPr>
          <w:p>
            <w:pPr>
              <w:spacing w:after="20"/>
            </w:pPr>
            <w:r/>
            <w:r>
              <w:rPr>
                <w:rFonts w:ascii="Aptos" w:hAnsi="Aptos"/>
                <w:b/>
                <w:sz w:val="18"/>
              </w:rPr>
              <w:t>Adaptive sequencing engine</w:t>
            </w:r>
          </w:p>
        </w:tc>
        <w:tc>
          <w:tcPr>
            <w:tcW w:type="dxa" w:w="4968"/>
            <w:vAlign w:val="center"/>
          </w:tcPr>
          <w:p>
            <w:pPr>
              <w:spacing w:after="20"/>
            </w:pPr>
            <w:r/>
            <w:r>
              <w:rPr>
                <w:rFonts w:ascii="Aptos" w:hAnsi="Aptos"/>
                <w:b w:val="0"/>
                <w:sz w:val="18"/>
              </w:rPr>
              <w:t>Chooses the next activity using prerequisites, mastery evidence and learning objectives.</w:t>
            </w:r>
          </w:p>
        </w:tc>
      </w:tr>
      <w:tr>
        <w:tc>
          <w:tcPr>
            <w:tcW w:type="dxa" w:w="4968"/>
            <w:vAlign w:val="center"/>
          </w:tcPr>
          <w:p>
            <w:pPr>
              <w:spacing w:after="20"/>
            </w:pPr>
            <w:r/>
            <w:r>
              <w:rPr>
                <w:rFonts w:ascii="Aptos" w:hAnsi="Aptos"/>
                <w:b/>
                <w:sz w:val="18"/>
              </w:rPr>
              <w:t>Review scheduler</w:t>
            </w:r>
          </w:p>
        </w:tc>
        <w:tc>
          <w:tcPr>
            <w:tcW w:type="dxa" w:w="4968"/>
            <w:vAlign w:val="center"/>
          </w:tcPr>
          <w:p>
            <w:pPr>
              <w:spacing w:after="20"/>
            </w:pPr>
            <w:r/>
            <w:r>
              <w:rPr>
                <w:rFonts w:ascii="Aptos" w:hAnsi="Aptos"/>
                <w:b w:val="0"/>
                <w:sz w:val="18"/>
              </w:rPr>
              <w:t>Schedules retrieval opportunities and adjusts review intervals based on performance and elapsed time.</w:t>
            </w:r>
          </w:p>
        </w:tc>
      </w:tr>
      <w:tr>
        <w:tc>
          <w:tcPr>
            <w:tcW w:type="dxa" w:w="4968"/>
            <w:vAlign w:val="center"/>
          </w:tcPr>
          <w:p>
            <w:pPr>
              <w:spacing w:after="20"/>
            </w:pPr>
            <w:r/>
            <w:r>
              <w:rPr>
                <w:rFonts w:ascii="Aptos" w:hAnsi="Aptos"/>
                <w:b/>
                <w:sz w:val="18"/>
              </w:rPr>
              <w:t>Assessment engine</w:t>
            </w:r>
          </w:p>
        </w:tc>
        <w:tc>
          <w:tcPr>
            <w:tcW w:type="dxa" w:w="4968"/>
            <w:vAlign w:val="center"/>
          </w:tcPr>
          <w:p>
            <w:pPr>
              <w:spacing w:after="20"/>
            </w:pPr>
            <w:r/>
            <w:r>
              <w:rPr>
                <w:rFonts w:ascii="Aptos" w:hAnsi="Aptos"/>
                <w:b w:val="0"/>
                <w:sz w:val="18"/>
              </w:rPr>
              <w:t>Scores correctness and partial credit; supplies independent and delayed assessment records.</w:t>
            </w:r>
          </w:p>
        </w:tc>
      </w:tr>
      <w:tr>
        <w:tc>
          <w:tcPr>
            <w:tcW w:type="dxa" w:w="4968"/>
            <w:vAlign w:val="center"/>
          </w:tcPr>
          <w:p>
            <w:pPr>
              <w:spacing w:after="20"/>
            </w:pPr>
            <w:r/>
            <w:r>
              <w:rPr>
                <w:rFonts w:ascii="Aptos" w:hAnsi="Aptos"/>
                <w:b/>
                <w:sz w:val="18"/>
              </w:rPr>
              <w:t>AI tutor service</w:t>
            </w:r>
          </w:p>
        </w:tc>
        <w:tc>
          <w:tcPr>
            <w:tcW w:type="dxa" w:w="4968"/>
            <w:vAlign w:val="center"/>
          </w:tcPr>
          <w:p>
            <w:pPr>
              <w:spacing w:after="20"/>
            </w:pPr>
            <w:r/>
            <w:r>
              <w:rPr>
                <w:rFonts w:ascii="Aptos" w:hAnsi="Aptos"/>
                <w:b w:val="0"/>
                <w:sz w:val="18"/>
              </w:rPr>
              <w:t>Provides graduated hints and explanations grounded in approved course material; cannot directly assign mastery.</w:t>
            </w:r>
          </w:p>
        </w:tc>
      </w:tr>
      <w:tr>
        <w:tc>
          <w:tcPr>
            <w:tcW w:type="dxa" w:w="4968"/>
            <w:vAlign w:val="center"/>
          </w:tcPr>
          <w:p>
            <w:pPr>
              <w:spacing w:after="20"/>
            </w:pPr>
            <w:r/>
            <w:r>
              <w:rPr>
                <w:rFonts w:ascii="Aptos" w:hAnsi="Aptos"/>
                <w:b/>
                <w:sz w:val="18"/>
              </w:rPr>
              <w:t>Content and data layer</w:t>
            </w:r>
          </w:p>
        </w:tc>
        <w:tc>
          <w:tcPr>
            <w:tcW w:type="dxa" w:w="4968"/>
            <w:vAlign w:val="center"/>
          </w:tcPr>
          <w:p>
            <w:pPr>
              <w:spacing w:after="20"/>
            </w:pPr>
            <w:r/>
            <w:r>
              <w:rPr>
                <w:rFonts w:ascii="Aptos" w:hAnsi="Aptos"/>
                <w:b w:val="0"/>
                <w:sz w:val="18"/>
              </w:rPr>
              <w:t>Curriculum map, question bank, answer keys, prerequisite graph and learning-event records.</w:t>
            </w:r>
          </w:p>
        </w:tc>
      </w:tr>
    </w:tbl>
    <w:p>
      <w:pPr>
        <w:pStyle w:val="Heading2"/>
      </w:pPr>
      <w:r>
        <w:t>Suggested implementation stack</w:t>
      </w:r>
    </w:p>
    <w:p>
      <w:r>
        <w:t>Frontend: React + TypeScript + Tailwind CSS. Backend: FastAPI. Database: PostgreSQL. Adaptive logic: transparent Python rules initially. AI: an LLM API accessed through the backend. Programming assessment: validated tests and, if code is executed, a properly isolated sandbox. This is a suggested stack, not a research requirement; reliability and testability matter more than framework choice.</w:t>
      </w:r>
    </w:p>
    <w:p>
      <w:pPr>
        <w:pStyle w:val="Heading1"/>
      </w:pPr>
      <w:r>
        <w:t>7. MVP scope</w:t>
      </w:r>
    </w:p>
    <w:p>
      <w:r>
        <w:t>Start with one subject and a small validated curriculum. Introductory programming is a practical first choice because solutions can often be checked with tests and recurring error patterns can be tracked.</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007378"/>
          </w:tcPr>
          <w:p>
            <w:pPr>
              <w:spacing w:after="20"/>
            </w:pPr>
            <w:r/>
            <w:r>
              <w:rPr>
                <w:rFonts w:ascii="Aptos" w:hAnsi="Aptos"/>
                <w:b/>
                <w:color w:val="FFFFFF"/>
                <w:sz w:val="18"/>
              </w:rPr>
              <w:t>MVP feature</w:t>
            </w:r>
          </w:p>
        </w:tc>
        <w:tc>
          <w:tcPr>
            <w:tcW w:type="dxa" w:w="4968"/>
            <w:vAlign w:val="center"/>
            <w:shd w:fill="007378"/>
          </w:tcPr>
          <w:p>
            <w:pPr>
              <w:spacing w:after="20"/>
            </w:pPr>
            <w:r/>
            <w:r>
              <w:rPr>
                <w:rFonts w:ascii="Aptos" w:hAnsi="Aptos"/>
                <w:b/>
                <w:color w:val="FFFFFF"/>
                <w:sz w:val="18"/>
              </w:rPr>
              <w:t>Minimum requirement</w:t>
            </w:r>
          </w:p>
        </w:tc>
      </w:tr>
      <w:tr>
        <w:tc>
          <w:tcPr>
            <w:tcW w:type="dxa" w:w="4968"/>
            <w:vAlign w:val="center"/>
          </w:tcPr>
          <w:p>
            <w:pPr>
              <w:spacing w:after="20"/>
            </w:pPr>
            <w:r/>
            <w:r>
              <w:rPr>
                <w:rFonts w:ascii="Aptos" w:hAnsi="Aptos"/>
                <w:b/>
                <w:sz w:val="18"/>
              </w:rPr>
              <w:t>1. Topic and prerequisite map</w:t>
            </w:r>
          </w:p>
        </w:tc>
        <w:tc>
          <w:tcPr>
            <w:tcW w:type="dxa" w:w="4968"/>
            <w:vAlign w:val="center"/>
          </w:tcPr>
          <w:p>
            <w:pPr>
              <w:spacing w:after="20"/>
            </w:pPr>
            <w:r/>
            <w:r>
              <w:rPr>
                <w:rFonts w:ascii="Aptos" w:hAnsi="Aptos"/>
                <w:b w:val="0"/>
                <w:sz w:val="18"/>
              </w:rPr>
              <w:t>10–15 connected concepts with learning objectives and prerequisite links.</w:t>
            </w:r>
          </w:p>
        </w:tc>
      </w:tr>
      <w:tr>
        <w:tc>
          <w:tcPr>
            <w:tcW w:type="dxa" w:w="4968"/>
            <w:vAlign w:val="center"/>
          </w:tcPr>
          <w:p>
            <w:pPr>
              <w:spacing w:after="20"/>
            </w:pPr>
            <w:r/>
            <w:r>
              <w:rPr>
                <w:rFonts w:ascii="Aptos" w:hAnsi="Aptos"/>
                <w:b/>
                <w:sz w:val="18"/>
              </w:rPr>
              <w:t>2. Diagnostic assessment</w:t>
            </w:r>
          </w:p>
        </w:tc>
        <w:tc>
          <w:tcPr>
            <w:tcW w:type="dxa" w:w="4968"/>
            <w:vAlign w:val="center"/>
          </w:tcPr>
          <w:p>
            <w:pPr>
              <w:spacing w:after="20"/>
            </w:pPr>
            <w:r/>
            <w:r>
              <w:rPr>
                <w:rFonts w:ascii="Aptos" w:hAnsi="Aptos"/>
                <w:b w:val="0"/>
                <w:sz w:val="18"/>
              </w:rPr>
              <w:t>Short baseline quiz to identify likely gaps in prior knowledge.</w:t>
            </w:r>
          </w:p>
        </w:tc>
      </w:tr>
      <w:tr>
        <w:tc>
          <w:tcPr>
            <w:tcW w:type="dxa" w:w="4968"/>
            <w:vAlign w:val="center"/>
          </w:tcPr>
          <w:p>
            <w:pPr>
              <w:spacing w:after="20"/>
            </w:pPr>
            <w:r/>
            <w:r>
              <w:rPr>
                <w:rFonts w:ascii="Aptos" w:hAnsi="Aptos"/>
                <w:b/>
                <w:sz w:val="18"/>
              </w:rPr>
              <w:t>3. Mastery tracking</w:t>
            </w:r>
          </w:p>
        </w:tc>
        <w:tc>
          <w:tcPr>
            <w:tcW w:type="dxa" w:w="4968"/>
            <w:vAlign w:val="center"/>
          </w:tcPr>
          <w:p>
            <w:pPr>
              <w:spacing w:after="20"/>
            </w:pPr>
            <w:r/>
            <w:r>
              <w:rPr>
                <w:rFonts w:ascii="Aptos" w:hAnsi="Aptos"/>
                <w:b w:val="0"/>
                <w:sz w:val="18"/>
              </w:rPr>
              <w:t>Transparent rule-based estimate using correctness, recent performance and whether the attempt was unaided.</w:t>
            </w:r>
          </w:p>
        </w:tc>
      </w:tr>
      <w:tr>
        <w:tc>
          <w:tcPr>
            <w:tcW w:type="dxa" w:w="4968"/>
            <w:vAlign w:val="center"/>
          </w:tcPr>
          <w:p>
            <w:pPr>
              <w:spacing w:after="20"/>
            </w:pPr>
            <w:r/>
            <w:r>
              <w:rPr>
                <w:rFonts w:ascii="Aptos" w:hAnsi="Aptos"/>
                <w:b/>
                <w:sz w:val="18"/>
              </w:rPr>
              <w:t>4. Retrieval practice</w:t>
            </w:r>
          </w:p>
        </w:tc>
        <w:tc>
          <w:tcPr>
            <w:tcW w:type="dxa" w:w="4968"/>
            <w:vAlign w:val="center"/>
          </w:tcPr>
          <w:p>
            <w:pPr>
              <w:spacing w:after="20"/>
            </w:pPr>
            <w:r/>
            <w:r>
              <w:rPr>
                <w:rFonts w:ascii="Aptos" w:hAnsi="Aptos"/>
                <w:b w:val="0"/>
                <w:sz w:val="18"/>
              </w:rPr>
              <w:t>Questions that require recall or problem-solving without simply rereading a solution.</w:t>
            </w:r>
          </w:p>
        </w:tc>
      </w:tr>
      <w:tr>
        <w:tc>
          <w:tcPr>
            <w:tcW w:type="dxa" w:w="4968"/>
            <w:vAlign w:val="center"/>
          </w:tcPr>
          <w:p>
            <w:pPr>
              <w:spacing w:after="20"/>
            </w:pPr>
            <w:r/>
            <w:r>
              <w:rPr>
                <w:rFonts w:ascii="Aptos" w:hAnsi="Aptos"/>
                <w:b/>
                <w:sz w:val="18"/>
              </w:rPr>
              <w:t>5. Spaced review</w:t>
            </w:r>
          </w:p>
        </w:tc>
        <w:tc>
          <w:tcPr>
            <w:tcW w:type="dxa" w:w="4968"/>
            <w:vAlign w:val="center"/>
          </w:tcPr>
          <w:p>
            <w:pPr>
              <w:spacing w:after="20"/>
            </w:pPr>
            <w:r/>
            <w:r>
              <w:rPr>
                <w:rFonts w:ascii="Aptos" w:hAnsi="Aptos"/>
                <w:b w:val="0"/>
                <w:sz w:val="18"/>
              </w:rPr>
              <w:t>A documented rule that schedules review and responds to errors.</w:t>
            </w:r>
          </w:p>
        </w:tc>
      </w:tr>
      <w:tr>
        <w:tc>
          <w:tcPr>
            <w:tcW w:type="dxa" w:w="4968"/>
            <w:vAlign w:val="center"/>
          </w:tcPr>
          <w:p>
            <w:pPr>
              <w:spacing w:after="20"/>
            </w:pPr>
            <w:r/>
            <w:r>
              <w:rPr>
                <w:rFonts w:ascii="Aptos" w:hAnsi="Aptos"/>
                <w:b/>
                <w:sz w:val="18"/>
              </w:rPr>
              <w:t>6. Progressive AI hints</w:t>
            </w:r>
          </w:p>
        </w:tc>
        <w:tc>
          <w:tcPr>
            <w:tcW w:type="dxa" w:w="4968"/>
            <w:vAlign w:val="center"/>
          </w:tcPr>
          <w:p>
            <w:pPr>
              <w:spacing w:after="20"/>
            </w:pPr>
            <w:r/>
            <w:r>
              <w:rPr>
                <w:rFonts w:ascii="Aptos" w:hAnsi="Aptos"/>
                <w:b w:val="0"/>
                <w:sz w:val="18"/>
              </w:rPr>
              <w:t>Conceptual hint → more specific hint → worked example or explanation when appropriate.</w:t>
            </w:r>
          </w:p>
        </w:tc>
      </w:tr>
      <w:tr>
        <w:tc>
          <w:tcPr>
            <w:tcW w:type="dxa" w:w="4968"/>
            <w:vAlign w:val="center"/>
          </w:tcPr>
          <w:p>
            <w:pPr>
              <w:spacing w:after="20"/>
            </w:pPr>
            <w:r/>
            <w:r>
              <w:rPr>
                <w:rFonts w:ascii="Aptos" w:hAnsi="Aptos"/>
                <w:b/>
                <w:sz w:val="18"/>
              </w:rPr>
              <w:t>7. Unaided checks</w:t>
            </w:r>
          </w:p>
        </w:tc>
        <w:tc>
          <w:tcPr>
            <w:tcW w:type="dxa" w:w="4968"/>
            <w:vAlign w:val="center"/>
          </w:tcPr>
          <w:p>
            <w:pPr>
              <w:spacing w:after="20"/>
            </w:pPr>
            <w:r/>
            <w:r>
              <w:rPr>
                <w:rFonts w:ascii="Aptos" w:hAnsi="Aptos"/>
                <w:b w:val="0"/>
                <w:sz w:val="18"/>
              </w:rPr>
              <w:t>Comparable questions after AI-supported practice to test whether the concept was learned.</w:t>
            </w:r>
          </w:p>
        </w:tc>
      </w:tr>
      <w:tr>
        <w:tc>
          <w:tcPr>
            <w:tcW w:type="dxa" w:w="4968"/>
            <w:vAlign w:val="center"/>
          </w:tcPr>
          <w:p>
            <w:pPr>
              <w:spacing w:after="20"/>
            </w:pPr>
            <w:r/>
            <w:r>
              <w:rPr>
                <w:rFonts w:ascii="Aptos" w:hAnsi="Aptos"/>
                <w:b/>
                <w:sz w:val="18"/>
              </w:rPr>
              <w:t>8. Student dashboard</w:t>
            </w:r>
          </w:p>
        </w:tc>
        <w:tc>
          <w:tcPr>
            <w:tcW w:type="dxa" w:w="4968"/>
            <w:vAlign w:val="center"/>
          </w:tcPr>
          <w:p>
            <w:pPr>
              <w:spacing w:after="20"/>
            </w:pPr>
            <w:r/>
            <w:r>
              <w:rPr>
                <w:rFonts w:ascii="Aptos" w:hAnsi="Aptos"/>
                <w:b w:val="0"/>
                <w:sz w:val="18"/>
              </w:rPr>
              <w:t>Shows strengths, topics to review, next activity and why it was recommended.</w:t>
            </w:r>
          </w:p>
        </w:tc>
      </w:tr>
      <w:tr>
        <w:tc>
          <w:tcPr>
            <w:tcW w:type="dxa" w:w="4968"/>
            <w:vAlign w:val="center"/>
          </w:tcPr>
          <w:p>
            <w:pPr>
              <w:spacing w:after="20"/>
            </w:pPr>
            <w:r/>
            <w:r>
              <w:rPr>
                <w:rFonts w:ascii="Aptos" w:hAnsi="Aptos"/>
                <w:b/>
                <w:sz w:val="18"/>
              </w:rPr>
              <w:t>9. Research event logging</w:t>
            </w:r>
          </w:p>
        </w:tc>
        <w:tc>
          <w:tcPr>
            <w:tcW w:type="dxa" w:w="4968"/>
            <w:vAlign w:val="center"/>
          </w:tcPr>
          <w:p>
            <w:pPr>
              <w:spacing w:after="20"/>
            </w:pPr>
            <w:r/>
            <w:r>
              <w:rPr>
                <w:rFonts w:ascii="Aptos" w:hAnsi="Aptos"/>
                <w:b w:val="0"/>
                <w:sz w:val="18"/>
              </w:rPr>
              <w:t>Records attempts, hint levels, review timing and assessment outcomes with privacy safeguards.</w:t>
            </w:r>
          </w:p>
        </w:tc>
      </w:tr>
    </w:tbl>
    <w:p>
      <w:pPr>
        <w:pStyle w:val="Heading2"/>
      </w:pPr>
      <w:r>
        <w:t>Out of scope for version one</w:t>
      </w:r>
    </w:p>
    <w:p>
      <w:pPr>
        <w:pStyle w:val="ListBullet"/>
        <w:spacing w:after="40"/>
      </w:pPr>
      <w:r>
        <w:t>Training a foundation model from scratch.</w:t>
      </w:r>
    </w:p>
    <w:p>
      <w:pPr>
        <w:pStyle w:val="ListBullet"/>
        <w:spacing w:after="40"/>
      </w:pPr>
      <w:r>
        <w:t>Supporting many subjects before the core learning loop is validated.</w:t>
      </w:r>
    </w:p>
    <w:p>
      <w:pPr>
        <w:pStyle w:val="ListBullet"/>
        <w:spacing w:after="40"/>
      </w:pPr>
      <w:r>
        <w:t>Emotion detection, invasive attention monitoring or automatic app blocking.</w:t>
      </w:r>
    </w:p>
    <w:p>
      <w:pPr>
        <w:pStyle w:val="ListBullet"/>
        <w:spacing w:after="40"/>
      </w:pPr>
      <w:r>
        <w:t>Complex neural knowledge tracing without sufficient validated data.</w:t>
      </w:r>
    </w:p>
    <w:p>
      <w:pPr>
        <w:pStyle w:val="ListBullet"/>
        <w:spacing w:after="40"/>
      </w:pPr>
      <w:r>
        <w:t>Gamification that rewards time spent rather than demonstrated learning.</w:t>
      </w:r>
    </w:p>
    <w:p>
      <w:pPr>
        <w:pStyle w:val="Heading1"/>
      </w:pPr>
      <w:r>
        <w:t>8. Evaluation methodology</w:t>
      </w:r>
    </w:p>
    <w:p>
      <w:pPr>
        <w:pStyle w:val="Heading2"/>
      </w:pPr>
      <w:r>
        <w:t>Design</w:t>
      </w:r>
    </w:p>
    <w:p>
      <w:r>
        <w:t>Use a mixed-methods controlled study. Both groups should receive the same core learning objectives and comparable access to AI assistance. The comparison group uses a conventional AI-assisted study experience; the intervention group uses mastery-based sequencing, spaced review, progressive hints and unaided checks. Random assignment is preferred when feasible.</w:t>
      </w:r>
    </w:p>
    <w:p>
      <w:pPr>
        <w:pStyle w:val="Heading2"/>
      </w:pPr>
      <w:r>
        <w:t>Study stages</w:t>
      </w:r>
    </w:p>
    <w:p>
      <w:pPr>
        <w:pStyle w:val="ListNumber"/>
        <w:spacing w:after="40"/>
      </w:pPr>
      <w:r>
        <w:t>Baseline: prior knowledge test, unaided problem-solving and familiarity with AI.</w:t>
      </w:r>
    </w:p>
    <w:p>
      <w:pPr>
        <w:pStyle w:val="ListNumber"/>
        <w:spacing w:after="40"/>
      </w:pPr>
      <w:r>
        <w:t>Intervention: comparable study sessions using the assigned learning experience.</w:t>
      </w:r>
    </w:p>
    <w:p>
      <w:pPr>
        <w:pStyle w:val="ListNumber"/>
        <w:spacing w:after="40"/>
      </w:pPr>
      <w:r>
        <w:t>Immediate assessment: unaided quiz and problem-solving tasks, plus study-time records.</w:t>
      </w:r>
    </w:p>
    <w:p>
      <w:pPr>
        <w:pStyle w:val="ListNumber"/>
        <w:spacing w:after="40"/>
      </w:pPr>
      <w:r>
        <w:t>Delayed assessment: a suitable unaided assessment approximately 1–2 weeks later.</w:t>
      </w:r>
    </w:p>
    <w:p>
      <w:pPr>
        <w:pStyle w:val="ListNumber"/>
        <w:spacing w:after="40"/>
      </w:pPr>
      <w:r>
        <w:t>Qualitative follow-up: interviews or open-ended questions about help-seeking, trust, perceived control and learning strategies.</w:t>
      </w:r>
    </w:p>
    <w:p>
      <w:pPr>
        <w:pStyle w:val="Heading2"/>
      </w:pPr>
      <w:r>
        <w:t>Outcome measures</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43652"/>
          </w:tcPr>
          <w:p>
            <w:pPr>
              <w:spacing w:after="20"/>
            </w:pPr>
            <w:r/>
            <w:r>
              <w:rPr>
                <w:rFonts w:ascii="Aptos" w:hAnsi="Aptos"/>
                <w:b/>
                <w:color w:val="FFFFFF"/>
                <w:sz w:val="18"/>
              </w:rPr>
              <w:t>Role</w:t>
            </w:r>
          </w:p>
        </w:tc>
        <w:tc>
          <w:tcPr>
            <w:tcW w:type="dxa" w:w="3312"/>
            <w:vAlign w:val="center"/>
            <w:shd w:fill="143652"/>
          </w:tcPr>
          <w:p>
            <w:pPr>
              <w:spacing w:after="20"/>
            </w:pPr>
            <w:r/>
            <w:r>
              <w:rPr>
                <w:rFonts w:ascii="Aptos" w:hAnsi="Aptos"/>
                <w:b/>
                <w:color w:val="FFFFFF"/>
                <w:sz w:val="18"/>
              </w:rPr>
              <w:t>Outcome</w:t>
            </w:r>
          </w:p>
        </w:tc>
        <w:tc>
          <w:tcPr>
            <w:tcW w:type="dxa" w:w="3312"/>
            <w:vAlign w:val="center"/>
            <w:shd w:fill="143652"/>
          </w:tcPr>
          <w:p>
            <w:pPr>
              <w:spacing w:after="20"/>
            </w:pPr>
            <w:r/>
            <w:r>
              <w:rPr>
                <w:rFonts w:ascii="Aptos" w:hAnsi="Aptos"/>
                <w:b/>
                <w:color w:val="FFFFFF"/>
                <w:sz w:val="18"/>
              </w:rPr>
              <w:t>Measurement</w:t>
            </w:r>
          </w:p>
        </w:tc>
      </w:tr>
      <w:tr>
        <w:tc>
          <w:tcPr>
            <w:tcW w:type="dxa" w:w="3312"/>
            <w:vAlign w:val="center"/>
          </w:tcPr>
          <w:p>
            <w:pPr>
              <w:spacing w:after="20"/>
            </w:pPr>
            <w:r/>
            <w:r>
              <w:rPr>
                <w:rFonts w:ascii="Aptos" w:hAnsi="Aptos"/>
                <w:b w:val="0"/>
                <w:sz w:val="17"/>
              </w:rPr>
              <w:t>Primary</w:t>
            </w:r>
          </w:p>
        </w:tc>
        <w:tc>
          <w:tcPr>
            <w:tcW w:type="dxa" w:w="3312"/>
            <w:vAlign w:val="center"/>
          </w:tcPr>
          <w:p>
            <w:pPr>
              <w:spacing w:after="20"/>
            </w:pPr>
            <w:r/>
            <w:r>
              <w:rPr>
                <w:rFonts w:ascii="Aptos" w:hAnsi="Aptos"/>
                <w:b/>
                <w:sz w:val="17"/>
              </w:rPr>
              <w:t>Independent problem-solving</w:t>
            </w:r>
          </w:p>
        </w:tc>
        <w:tc>
          <w:tcPr>
            <w:tcW w:type="dxa" w:w="3312"/>
            <w:vAlign w:val="center"/>
          </w:tcPr>
          <w:p>
            <w:pPr>
              <w:spacing w:after="20"/>
            </w:pPr>
            <w:r/>
            <w:r>
              <w:rPr>
                <w:rFonts w:ascii="Aptos" w:hAnsi="Aptos"/>
                <w:b w:val="0"/>
                <w:sz w:val="17"/>
              </w:rPr>
              <w:t>Correctness on unaided, unseen or parallel problems.</w:t>
            </w:r>
          </w:p>
        </w:tc>
      </w:tr>
      <w:tr>
        <w:tc>
          <w:tcPr>
            <w:tcW w:type="dxa" w:w="3312"/>
            <w:vAlign w:val="center"/>
          </w:tcPr>
          <w:p>
            <w:pPr>
              <w:spacing w:after="20"/>
            </w:pPr>
            <w:r/>
            <w:r>
              <w:rPr>
                <w:rFonts w:ascii="Aptos" w:hAnsi="Aptos"/>
                <w:b w:val="0"/>
                <w:sz w:val="17"/>
              </w:rPr>
              <w:t>Secondary</w:t>
            </w:r>
          </w:p>
        </w:tc>
        <w:tc>
          <w:tcPr>
            <w:tcW w:type="dxa" w:w="3312"/>
            <w:vAlign w:val="center"/>
          </w:tcPr>
          <w:p>
            <w:pPr>
              <w:spacing w:after="20"/>
            </w:pPr>
            <w:r/>
            <w:r>
              <w:rPr>
                <w:rFonts w:ascii="Aptos" w:hAnsi="Aptos"/>
                <w:b/>
                <w:sz w:val="17"/>
              </w:rPr>
              <w:t>Delayed retention</w:t>
            </w:r>
          </w:p>
        </w:tc>
        <w:tc>
          <w:tcPr>
            <w:tcW w:type="dxa" w:w="3312"/>
            <w:vAlign w:val="center"/>
          </w:tcPr>
          <w:p>
            <w:pPr>
              <w:spacing w:after="20"/>
            </w:pPr>
            <w:r/>
            <w:r>
              <w:rPr>
                <w:rFonts w:ascii="Aptos" w:hAnsi="Aptos"/>
                <w:b w:val="0"/>
                <w:sz w:val="17"/>
              </w:rPr>
              <w:t>Unaided assessment after a delay.</w:t>
            </w:r>
          </w:p>
        </w:tc>
      </w:tr>
      <w:tr>
        <w:tc>
          <w:tcPr>
            <w:tcW w:type="dxa" w:w="3312"/>
            <w:vAlign w:val="center"/>
          </w:tcPr>
          <w:p>
            <w:pPr>
              <w:spacing w:after="20"/>
            </w:pPr>
            <w:r/>
            <w:r>
              <w:rPr>
                <w:rFonts w:ascii="Aptos" w:hAnsi="Aptos"/>
                <w:b w:val="0"/>
                <w:sz w:val="17"/>
              </w:rPr>
              <w:t>Secondary</w:t>
            </w:r>
          </w:p>
        </w:tc>
        <w:tc>
          <w:tcPr>
            <w:tcW w:type="dxa" w:w="3312"/>
            <w:vAlign w:val="center"/>
          </w:tcPr>
          <w:p>
            <w:pPr>
              <w:spacing w:after="20"/>
            </w:pPr>
            <w:r/>
            <w:r>
              <w:rPr>
                <w:rFonts w:ascii="Aptos" w:hAnsi="Aptos"/>
                <w:b/>
                <w:sz w:val="17"/>
              </w:rPr>
              <w:t>Transfer</w:t>
            </w:r>
          </w:p>
        </w:tc>
        <w:tc>
          <w:tcPr>
            <w:tcW w:type="dxa" w:w="3312"/>
            <w:vAlign w:val="center"/>
          </w:tcPr>
          <w:p>
            <w:pPr>
              <w:spacing w:after="20"/>
            </w:pPr>
            <w:r/>
            <w:r>
              <w:rPr>
                <w:rFonts w:ascii="Aptos" w:hAnsi="Aptos"/>
                <w:b w:val="0"/>
                <w:sz w:val="17"/>
              </w:rPr>
              <w:t>Apply concepts to unfamiliar problems.</w:t>
            </w:r>
          </w:p>
        </w:tc>
      </w:tr>
      <w:tr>
        <w:tc>
          <w:tcPr>
            <w:tcW w:type="dxa" w:w="3312"/>
            <w:vAlign w:val="center"/>
          </w:tcPr>
          <w:p>
            <w:pPr>
              <w:spacing w:after="20"/>
            </w:pPr>
            <w:r/>
            <w:r>
              <w:rPr>
                <w:rFonts w:ascii="Aptos" w:hAnsi="Aptos"/>
                <w:b w:val="0"/>
                <w:sz w:val="17"/>
              </w:rPr>
              <w:t>Secondary</w:t>
            </w:r>
          </w:p>
        </w:tc>
        <w:tc>
          <w:tcPr>
            <w:tcW w:type="dxa" w:w="3312"/>
            <w:vAlign w:val="center"/>
          </w:tcPr>
          <w:p>
            <w:pPr>
              <w:spacing w:after="20"/>
            </w:pPr>
            <w:r/>
            <w:r>
              <w:rPr>
                <w:rFonts w:ascii="Aptos" w:hAnsi="Aptos"/>
                <w:b/>
                <w:sz w:val="17"/>
              </w:rPr>
              <w:t>Learning efficiency</w:t>
            </w:r>
          </w:p>
        </w:tc>
        <w:tc>
          <w:tcPr>
            <w:tcW w:type="dxa" w:w="3312"/>
            <w:vAlign w:val="center"/>
          </w:tcPr>
          <w:p>
            <w:pPr>
              <w:spacing w:after="20"/>
            </w:pPr>
            <w:r/>
            <w:r>
              <w:rPr>
                <w:rFonts w:ascii="Aptos" w:hAnsi="Aptos"/>
                <w:b w:val="0"/>
                <w:sz w:val="17"/>
              </w:rPr>
              <w:t>Learning gain considered alongside active study time.</w:t>
            </w:r>
          </w:p>
        </w:tc>
      </w:tr>
      <w:tr>
        <w:tc>
          <w:tcPr>
            <w:tcW w:type="dxa" w:w="3312"/>
            <w:vAlign w:val="center"/>
          </w:tcPr>
          <w:p>
            <w:pPr>
              <w:spacing w:after="20"/>
            </w:pPr>
            <w:r/>
            <w:r>
              <w:rPr>
                <w:rFonts w:ascii="Aptos" w:hAnsi="Aptos"/>
                <w:b w:val="0"/>
                <w:sz w:val="17"/>
              </w:rPr>
              <w:t>Exploratory</w:t>
            </w:r>
          </w:p>
        </w:tc>
        <w:tc>
          <w:tcPr>
            <w:tcW w:type="dxa" w:w="3312"/>
            <w:vAlign w:val="center"/>
          </w:tcPr>
          <w:p>
            <w:pPr>
              <w:spacing w:after="20"/>
            </w:pPr>
            <w:r/>
            <w:r>
              <w:rPr>
                <w:rFonts w:ascii="Aptos" w:hAnsi="Aptos"/>
                <w:b/>
                <w:sz w:val="17"/>
              </w:rPr>
              <w:t>AI reliance and help-seeking</w:t>
            </w:r>
          </w:p>
        </w:tc>
        <w:tc>
          <w:tcPr>
            <w:tcW w:type="dxa" w:w="3312"/>
            <w:vAlign w:val="center"/>
          </w:tcPr>
          <w:p>
            <w:pPr>
              <w:spacing w:after="20"/>
            </w:pPr>
            <w:r/>
            <w:r>
              <w:rPr>
                <w:rFonts w:ascii="Aptos" w:hAnsi="Aptos"/>
                <w:b w:val="0"/>
                <w:sz w:val="17"/>
              </w:rPr>
              <w:t>Hint requests, full-solution use and unaided performance together.</w:t>
            </w:r>
          </w:p>
        </w:tc>
      </w:tr>
      <w:tr>
        <w:tc>
          <w:tcPr>
            <w:tcW w:type="dxa" w:w="3312"/>
            <w:vAlign w:val="center"/>
          </w:tcPr>
          <w:p>
            <w:pPr>
              <w:spacing w:after="20"/>
            </w:pPr>
            <w:r/>
            <w:r>
              <w:rPr>
                <w:rFonts w:ascii="Aptos" w:hAnsi="Aptos"/>
                <w:b w:val="0"/>
                <w:sz w:val="17"/>
              </w:rPr>
              <w:t>Secondary</w:t>
            </w:r>
          </w:p>
        </w:tc>
        <w:tc>
          <w:tcPr>
            <w:tcW w:type="dxa" w:w="3312"/>
            <w:vAlign w:val="center"/>
          </w:tcPr>
          <w:p>
            <w:pPr>
              <w:spacing w:after="20"/>
            </w:pPr>
            <w:r/>
            <w:r>
              <w:rPr>
                <w:rFonts w:ascii="Aptos" w:hAnsi="Aptos"/>
                <w:b/>
                <w:sz w:val="17"/>
              </w:rPr>
              <w:t>Self-regulated learning</w:t>
            </w:r>
          </w:p>
        </w:tc>
        <w:tc>
          <w:tcPr>
            <w:tcW w:type="dxa" w:w="3312"/>
            <w:vAlign w:val="center"/>
          </w:tcPr>
          <w:p>
            <w:pPr>
              <w:spacing w:after="20"/>
            </w:pPr>
            <w:r/>
            <w:r>
              <w:rPr>
                <w:rFonts w:ascii="Aptos" w:hAnsi="Aptos"/>
                <w:b w:val="0"/>
                <w:sz w:val="17"/>
              </w:rPr>
              <w:t>Validated questionnaire plus observed learning behaviours.</w:t>
            </w:r>
          </w:p>
        </w:tc>
      </w:tr>
      <w:tr>
        <w:tc>
          <w:tcPr>
            <w:tcW w:type="dxa" w:w="3312"/>
            <w:vAlign w:val="center"/>
          </w:tcPr>
          <w:p>
            <w:pPr>
              <w:spacing w:after="20"/>
            </w:pPr>
            <w:r/>
            <w:r>
              <w:rPr>
                <w:rFonts w:ascii="Aptos" w:hAnsi="Aptos"/>
                <w:b w:val="0"/>
                <w:sz w:val="17"/>
              </w:rPr>
              <w:t>Exploratory</w:t>
            </w:r>
          </w:p>
        </w:tc>
        <w:tc>
          <w:tcPr>
            <w:tcW w:type="dxa" w:w="3312"/>
            <w:vAlign w:val="center"/>
          </w:tcPr>
          <w:p>
            <w:pPr>
              <w:spacing w:after="20"/>
            </w:pPr>
            <w:r/>
            <w:r>
              <w:rPr>
                <w:rFonts w:ascii="Aptos" w:hAnsi="Aptos"/>
                <w:b/>
                <w:sz w:val="17"/>
              </w:rPr>
              <w:t>Usability and trust</w:t>
            </w:r>
          </w:p>
        </w:tc>
        <w:tc>
          <w:tcPr>
            <w:tcW w:type="dxa" w:w="3312"/>
            <w:vAlign w:val="center"/>
          </w:tcPr>
          <w:p>
            <w:pPr>
              <w:spacing w:after="20"/>
            </w:pPr>
            <w:r/>
            <w:r>
              <w:rPr>
                <w:rFonts w:ascii="Aptos" w:hAnsi="Aptos"/>
                <w:b w:val="0"/>
                <w:sz w:val="17"/>
              </w:rPr>
              <w:t>Established usability measures and qualitative feedback.</w:t>
            </w:r>
          </w:p>
        </w:tc>
      </w:tr>
    </w:tbl>
    <w:p>
      <w:pPr>
        <w:pStyle w:val="Heading2"/>
      </w:pPr>
      <w:r>
        <w:t>Sample size and analysis</w:t>
      </w:r>
    </w:p>
    <w:p>
      <w:r>
        <w:t>A pilot of approximately 12–20 participants can help test usability, question difficulty, logging and session length; it is not generally enough to establish effectiveness. For the main study, 60–100 participants may be an initial planning range only. Determine the actual sample through a power analysis based on the smallest meaningful effect, outcome variability, desired power and expected attrition.</w:t>
      </w:r>
    </w:p>
    <w:p>
      <w:r>
        <w:t>Possible analysis: compare post-test scores while adjusting for baseline knowledge, or use a repeated-measures model for immediate and delayed outcomes. Report effect sizes and confidence intervals. Analyse interview data thematically. Avoid interpreting fewer AI requests as proof of independence without independent-performance evidence.</w:t>
      </w:r>
    </w:p>
    <w:p>
      <w:pPr>
        <w:pStyle w:val="Heading1"/>
      </w:pPr>
      <w:r>
        <w:t>9. Risks, limitations and safeguards</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007378"/>
          </w:tcPr>
          <w:p>
            <w:pPr>
              <w:spacing w:after="20"/>
            </w:pPr>
            <w:r/>
            <w:r>
              <w:rPr>
                <w:rFonts w:ascii="Aptos" w:hAnsi="Aptos"/>
                <w:b/>
                <w:color w:val="FFFFFF"/>
                <w:sz w:val="18"/>
              </w:rPr>
              <w:t>Risk</w:t>
            </w:r>
          </w:p>
        </w:tc>
        <w:tc>
          <w:tcPr>
            <w:tcW w:type="dxa" w:w="3312"/>
            <w:vAlign w:val="center"/>
            <w:shd w:fill="007378"/>
          </w:tcPr>
          <w:p>
            <w:pPr>
              <w:spacing w:after="20"/>
            </w:pPr>
            <w:r/>
            <w:r>
              <w:rPr>
                <w:rFonts w:ascii="Aptos" w:hAnsi="Aptos"/>
                <w:b/>
                <w:color w:val="FFFFFF"/>
                <w:sz w:val="18"/>
              </w:rPr>
              <w:t>Why it matters</w:t>
            </w:r>
          </w:p>
        </w:tc>
        <w:tc>
          <w:tcPr>
            <w:tcW w:type="dxa" w:w="3312"/>
            <w:vAlign w:val="center"/>
            <w:shd w:fill="007378"/>
          </w:tcPr>
          <w:p>
            <w:pPr>
              <w:spacing w:after="20"/>
            </w:pPr>
            <w:r/>
            <w:r>
              <w:rPr>
                <w:rFonts w:ascii="Aptos" w:hAnsi="Aptos"/>
                <w:b/>
                <w:color w:val="FFFFFF"/>
                <w:sz w:val="18"/>
              </w:rPr>
              <w:t>Mitigation</w:t>
            </w:r>
          </w:p>
        </w:tc>
      </w:tr>
      <w:tr>
        <w:tc>
          <w:tcPr>
            <w:tcW w:type="dxa" w:w="3312"/>
            <w:vAlign w:val="center"/>
          </w:tcPr>
          <w:p>
            <w:pPr>
              <w:spacing w:after="20"/>
            </w:pPr>
            <w:r/>
            <w:r>
              <w:rPr>
                <w:rFonts w:ascii="Aptos" w:hAnsi="Aptos"/>
                <w:b/>
                <w:sz w:val="17"/>
              </w:rPr>
              <w:t>Novelty overclaim</w:t>
            </w:r>
          </w:p>
        </w:tc>
        <w:tc>
          <w:tcPr>
            <w:tcW w:type="dxa" w:w="3312"/>
            <w:vAlign w:val="center"/>
          </w:tcPr>
          <w:p>
            <w:pPr>
              <w:spacing w:after="20"/>
            </w:pPr>
            <w:r/>
            <w:r>
              <w:rPr>
                <w:rFonts w:ascii="Aptos" w:hAnsi="Aptos"/>
                <w:b w:val="0"/>
                <w:sz w:val="17"/>
              </w:rPr>
              <w:t>Similar systems and individual features already exist.</w:t>
            </w:r>
          </w:p>
        </w:tc>
        <w:tc>
          <w:tcPr>
            <w:tcW w:type="dxa" w:w="3312"/>
            <w:vAlign w:val="center"/>
          </w:tcPr>
          <w:p>
            <w:pPr>
              <w:spacing w:after="20"/>
            </w:pPr>
            <w:r/>
            <w:r>
              <w:rPr>
                <w:rFonts w:ascii="Aptos" w:hAnsi="Aptos"/>
                <w:b w:val="0"/>
                <w:sz w:val="17"/>
              </w:rPr>
              <w:t>Conduct a focused search of recent primary studies and compare exact interventions and outcomes.</w:t>
            </w:r>
          </w:p>
        </w:tc>
      </w:tr>
      <w:tr>
        <w:tc>
          <w:tcPr>
            <w:tcW w:type="dxa" w:w="3312"/>
            <w:vAlign w:val="center"/>
          </w:tcPr>
          <w:p>
            <w:pPr>
              <w:spacing w:after="20"/>
            </w:pPr>
            <w:r/>
            <w:r>
              <w:rPr>
                <w:rFonts w:ascii="Aptos" w:hAnsi="Aptos"/>
                <w:b/>
                <w:sz w:val="17"/>
              </w:rPr>
              <w:t>Poor AI explanations</w:t>
            </w:r>
          </w:p>
        </w:tc>
        <w:tc>
          <w:tcPr>
            <w:tcW w:type="dxa" w:w="3312"/>
            <w:vAlign w:val="center"/>
          </w:tcPr>
          <w:p>
            <w:pPr>
              <w:spacing w:after="20"/>
            </w:pPr>
            <w:r/>
            <w:r>
              <w:rPr>
                <w:rFonts w:ascii="Aptos" w:hAnsi="Aptos"/>
                <w:b w:val="0"/>
                <w:sz w:val="17"/>
              </w:rPr>
              <w:t>The tutor may give incorrect or misleading guidance.</w:t>
            </w:r>
          </w:p>
        </w:tc>
        <w:tc>
          <w:tcPr>
            <w:tcW w:type="dxa" w:w="3312"/>
            <w:vAlign w:val="center"/>
          </w:tcPr>
          <w:p>
            <w:pPr>
              <w:spacing w:after="20"/>
            </w:pPr>
            <w:r/>
            <w:r>
              <w:rPr>
                <w:rFonts w:ascii="Aptos" w:hAnsi="Aptos"/>
                <w:b w:val="0"/>
                <w:sz w:val="17"/>
              </w:rPr>
              <w:t>Ground responses in approved material, validate exercises and provide reporting/correction mechanisms.</w:t>
            </w:r>
          </w:p>
        </w:tc>
      </w:tr>
      <w:tr>
        <w:tc>
          <w:tcPr>
            <w:tcW w:type="dxa" w:w="3312"/>
            <w:vAlign w:val="center"/>
          </w:tcPr>
          <w:p>
            <w:pPr>
              <w:spacing w:after="20"/>
            </w:pPr>
            <w:r/>
            <w:r>
              <w:rPr>
                <w:rFonts w:ascii="Aptos" w:hAnsi="Aptos"/>
                <w:b/>
                <w:sz w:val="17"/>
              </w:rPr>
              <w:t>False mastery estimates</w:t>
            </w:r>
          </w:p>
        </w:tc>
        <w:tc>
          <w:tcPr>
            <w:tcW w:type="dxa" w:w="3312"/>
            <w:vAlign w:val="center"/>
          </w:tcPr>
          <w:p>
            <w:pPr>
              <w:spacing w:after="20"/>
            </w:pPr>
            <w:r/>
            <w:r>
              <w:rPr>
                <w:rFonts w:ascii="Aptos" w:hAnsi="Aptos"/>
                <w:b w:val="0"/>
                <w:sz w:val="17"/>
              </w:rPr>
              <w:t>A few correct answers may overstate understanding.</w:t>
            </w:r>
          </w:p>
        </w:tc>
        <w:tc>
          <w:tcPr>
            <w:tcW w:type="dxa" w:w="3312"/>
            <w:vAlign w:val="center"/>
          </w:tcPr>
          <w:p>
            <w:pPr>
              <w:spacing w:after="20"/>
            </w:pPr>
            <w:r/>
            <w:r>
              <w:rPr>
                <w:rFonts w:ascii="Aptos" w:hAnsi="Aptos"/>
                <w:b w:val="0"/>
                <w:sz w:val="17"/>
              </w:rPr>
              <w:t>Use multiple attempts, delayed checks, topic-level estimates and explicit uncertainty.</w:t>
            </w:r>
          </w:p>
        </w:tc>
      </w:tr>
      <w:tr>
        <w:tc>
          <w:tcPr>
            <w:tcW w:type="dxa" w:w="3312"/>
            <w:vAlign w:val="center"/>
          </w:tcPr>
          <w:p>
            <w:pPr>
              <w:spacing w:after="20"/>
            </w:pPr>
            <w:r/>
            <w:r>
              <w:rPr>
                <w:rFonts w:ascii="Aptos" w:hAnsi="Aptos"/>
                <w:b/>
                <w:sz w:val="17"/>
              </w:rPr>
              <w:t>Over-scaffolding</w:t>
            </w:r>
          </w:p>
        </w:tc>
        <w:tc>
          <w:tcPr>
            <w:tcW w:type="dxa" w:w="3312"/>
            <w:vAlign w:val="center"/>
          </w:tcPr>
          <w:p>
            <w:pPr>
              <w:spacing w:after="20"/>
            </w:pPr>
            <w:r/>
            <w:r>
              <w:rPr>
                <w:rFonts w:ascii="Aptos" w:hAnsi="Aptos"/>
                <w:b w:val="0"/>
                <w:sz w:val="17"/>
              </w:rPr>
              <w:t>Students may follow hints without learning independently.</w:t>
            </w:r>
          </w:p>
        </w:tc>
        <w:tc>
          <w:tcPr>
            <w:tcW w:type="dxa" w:w="3312"/>
            <w:vAlign w:val="center"/>
          </w:tcPr>
          <w:p>
            <w:pPr>
              <w:spacing w:after="20"/>
            </w:pPr>
            <w:r/>
            <w:r>
              <w:rPr>
                <w:rFonts w:ascii="Aptos" w:hAnsi="Aptos"/>
                <w:b w:val="0"/>
                <w:sz w:val="17"/>
              </w:rPr>
              <w:t>Require unaided practice and use delayed assessments.</w:t>
            </w:r>
          </w:p>
        </w:tc>
      </w:tr>
      <w:tr>
        <w:tc>
          <w:tcPr>
            <w:tcW w:type="dxa" w:w="3312"/>
            <w:vAlign w:val="center"/>
          </w:tcPr>
          <w:p>
            <w:pPr>
              <w:spacing w:after="20"/>
            </w:pPr>
            <w:r/>
            <w:r>
              <w:rPr>
                <w:rFonts w:ascii="Aptos" w:hAnsi="Aptos"/>
                <w:b/>
                <w:sz w:val="17"/>
              </w:rPr>
              <w:t>Weak comparison</w:t>
            </w:r>
          </w:p>
        </w:tc>
        <w:tc>
          <w:tcPr>
            <w:tcW w:type="dxa" w:w="3312"/>
            <w:vAlign w:val="center"/>
          </w:tcPr>
          <w:p>
            <w:pPr>
              <w:spacing w:after="20"/>
            </w:pPr>
            <w:r/>
            <w:r>
              <w:rPr>
                <w:rFonts w:ascii="Aptos" w:hAnsi="Aptos"/>
                <w:b w:val="0"/>
                <w:sz w:val="17"/>
              </w:rPr>
              <w:t>Differences may be caused by content or AI access, not adaptation.</w:t>
            </w:r>
          </w:p>
        </w:tc>
        <w:tc>
          <w:tcPr>
            <w:tcW w:type="dxa" w:w="3312"/>
            <w:vAlign w:val="center"/>
          </w:tcPr>
          <w:p>
            <w:pPr>
              <w:spacing w:after="20"/>
            </w:pPr>
            <w:r/>
            <w:r>
              <w:rPr>
                <w:rFonts w:ascii="Aptos" w:hAnsi="Aptos"/>
                <w:b w:val="0"/>
                <w:sz w:val="17"/>
              </w:rPr>
              <w:t>Keep content, study time and AI access comparable across groups.</w:t>
            </w:r>
          </w:p>
        </w:tc>
      </w:tr>
      <w:tr>
        <w:tc>
          <w:tcPr>
            <w:tcW w:type="dxa" w:w="3312"/>
            <w:vAlign w:val="center"/>
          </w:tcPr>
          <w:p>
            <w:pPr>
              <w:spacing w:after="20"/>
            </w:pPr>
            <w:r/>
            <w:r>
              <w:rPr>
                <w:rFonts w:ascii="Aptos" w:hAnsi="Aptos"/>
                <w:b/>
                <w:sz w:val="17"/>
              </w:rPr>
              <w:t>Privacy and consent</w:t>
            </w:r>
          </w:p>
        </w:tc>
        <w:tc>
          <w:tcPr>
            <w:tcW w:type="dxa" w:w="3312"/>
            <w:vAlign w:val="center"/>
          </w:tcPr>
          <w:p>
            <w:pPr>
              <w:spacing w:after="20"/>
            </w:pPr>
            <w:r/>
            <w:r>
              <w:rPr>
                <w:rFonts w:ascii="Aptos" w:hAnsi="Aptos"/>
                <w:b w:val="0"/>
                <w:sz w:val="17"/>
              </w:rPr>
              <w:t>Learning logs can be sensitive.</w:t>
            </w:r>
          </w:p>
        </w:tc>
        <w:tc>
          <w:tcPr>
            <w:tcW w:type="dxa" w:w="3312"/>
            <w:vAlign w:val="center"/>
          </w:tcPr>
          <w:p>
            <w:pPr>
              <w:spacing w:after="20"/>
            </w:pPr>
            <w:r/>
            <w:r>
              <w:rPr>
                <w:rFonts w:ascii="Aptos" w:hAnsi="Aptos"/>
                <w:b w:val="0"/>
                <w:sz w:val="17"/>
              </w:rPr>
              <w:t>Collect only necessary data, de-identify records, limit access and obtain institutional ethics approval.</w:t>
            </w:r>
          </w:p>
        </w:tc>
      </w:tr>
      <w:tr>
        <w:tc>
          <w:tcPr>
            <w:tcW w:type="dxa" w:w="3312"/>
            <w:vAlign w:val="center"/>
          </w:tcPr>
          <w:p>
            <w:pPr>
              <w:spacing w:after="20"/>
            </w:pPr>
            <w:r/>
            <w:r>
              <w:rPr>
                <w:rFonts w:ascii="Aptos" w:hAnsi="Aptos"/>
                <w:b/>
                <w:sz w:val="17"/>
              </w:rPr>
              <w:t>Overloaded scope</w:t>
            </w:r>
          </w:p>
        </w:tc>
        <w:tc>
          <w:tcPr>
            <w:tcW w:type="dxa" w:w="3312"/>
            <w:vAlign w:val="center"/>
          </w:tcPr>
          <w:p>
            <w:pPr>
              <w:spacing w:after="20"/>
            </w:pPr>
            <w:r/>
            <w:r>
              <w:rPr>
                <w:rFonts w:ascii="Aptos" w:hAnsi="Aptos"/>
                <w:b w:val="0"/>
                <w:sz w:val="17"/>
              </w:rPr>
              <w:t>Supporting many subjects can delay validation.</w:t>
            </w:r>
          </w:p>
        </w:tc>
        <w:tc>
          <w:tcPr>
            <w:tcW w:type="dxa" w:w="3312"/>
            <w:vAlign w:val="center"/>
          </w:tcPr>
          <w:p>
            <w:pPr>
              <w:spacing w:after="20"/>
            </w:pPr>
            <w:r/>
            <w:r>
              <w:rPr>
                <w:rFonts w:ascii="Aptos" w:hAnsi="Aptos"/>
                <w:b w:val="0"/>
                <w:sz w:val="17"/>
              </w:rPr>
              <w:t>Start with one subject, a small concept map and a complete learning loop.</w:t>
            </w:r>
          </w:p>
        </w:tc>
      </w:tr>
    </w:tbl>
    <w:p>
      <w:pPr>
        <w:pStyle w:val="Heading1"/>
      </w:pPr>
      <w:r>
        <w:t>10. Indicative 10-week plan</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43652"/>
          </w:tcPr>
          <w:p>
            <w:pPr>
              <w:spacing w:after="20"/>
            </w:pPr>
            <w:r/>
            <w:r>
              <w:rPr>
                <w:rFonts w:ascii="Aptos" w:hAnsi="Aptos"/>
                <w:b/>
                <w:color w:val="FFFFFF"/>
                <w:sz w:val="18"/>
              </w:rPr>
              <w:t>Timing</w:t>
            </w:r>
          </w:p>
        </w:tc>
        <w:tc>
          <w:tcPr>
            <w:tcW w:type="dxa" w:w="4968"/>
            <w:vAlign w:val="center"/>
            <w:shd w:fill="143652"/>
          </w:tcPr>
          <w:p>
            <w:pPr>
              <w:spacing w:after="20"/>
            </w:pPr>
            <w:r/>
            <w:r>
              <w:rPr>
                <w:rFonts w:ascii="Aptos" w:hAnsi="Aptos"/>
                <w:b/>
                <w:color w:val="FFFFFF"/>
                <w:sz w:val="18"/>
              </w:rPr>
              <w:t>Milestone</w:t>
            </w:r>
          </w:p>
        </w:tc>
      </w:tr>
      <w:tr>
        <w:tc>
          <w:tcPr>
            <w:tcW w:type="dxa" w:w="4968"/>
            <w:vAlign w:val="center"/>
          </w:tcPr>
          <w:p>
            <w:pPr>
              <w:spacing w:after="20"/>
            </w:pPr>
            <w:r/>
            <w:r>
              <w:rPr>
                <w:rFonts w:ascii="Aptos" w:hAnsi="Aptos"/>
                <w:b/>
                <w:sz w:val="18"/>
              </w:rPr>
              <w:t>Weeks 1–2</w:t>
            </w:r>
          </w:p>
        </w:tc>
        <w:tc>
          <w:tcPr>
            <w:tcW w:type="dxa" w:w="4968"/>
            <w:vAlign w:val="center"/>
          </w:tcPr>
          <w:p>
            <w:pPr>
              <w:spacing w:after="20"/>
            </w:pPr>
            <w:r/>
            <w:r>
              <w:rPr>
                <w:rFonts w:ascii="Aptos" w:hAnsi="Aptos"/>
                <w:b w:val="0"/>
                <w:sz w:val="18"/>
              </w:rPr>
              <w:t>Literature review, gap matrix, subject choice, research questions, measures and protocol.</w:t>
            </w:r>
          </w:p>
        </w:tc>
      </w:tr>
      <w:tr>
        <w:tc>
          <w:tcPr>
            <w:tcW w:type="dxa" w:w="4968"/>
            <w:vAlign w:val="center"/>
          </w:tcPr>
          <w:p>
            <w:pPr>
              <w:spacing w:after="20"/>
            </w:pPr>
            <w:r/>
            <w:r>
              <w:rPr>
                <w:rFonts w:ascii="Aptos" w:hAnsi="Aptos"/>
                <w:b/>
                <w:sz w:val="18"/>
              </w:rPr>
              <w:t>Weeks 3–4</w:t>
            </w:r>
          </w:p>
        </w:tc>
        <w:tc>
          <w:tcPr>
            <w:tcW w:type="dxa" w:w="4968"/>
            <w:vAlign w:val="center"/>
          </w:tcPr>
          <w:p>
            <w:pPr>
              <w:spacing w:after="20"/>
            </w:pPr>
            <w:r/>
            <w:r>
              <w:rPr>
                <w:rFonts w:ascii="Aptos" w:hAnsi="Aptos"/>
                <w:b w:val="0"/>
                <w:sz w:val="18"/>
              </w:rPr>
              <w:t>Build topic map, assessment engine, mastery estimates, review scheduler and dashboard.</w:t>
            </w:r>
          </w:p>
        </w:tc>
      </w:tr>
      <w:tr>
        <w:tc>
          <w:tcPr>
            <w:tcW w:type="dxa" w:w="4968"/>
            <w:vAlign w:val="center"/>
          </w:tcPr>
          <w:p>
            <w:pPr>
              <w:spacing w:after="20"/>
            </w:pPr>
            <w:r/>
            <w:r>
              <w:rPr>
                <w:rFonts w:ascii="Aptos" w:hAnsi="Aptos"/>
                <w:b/>
                <w:sz w:val="18"/>
              </w:rPr>
              <w:t>Week 5</w:t>
            </w:r>
          </w:p>
        </w:tc>
        <w:tc>
          <w:tcPr>
            <w:tcW w:type="dxa" w:w="4968"/>
            <w:vAlign w:val="center"/>
          </w:tcPr>
          <w:p>
            <w:pPr>
              <w:spacing w:after="20"/>
            </w:pPr>
            <w:r/>
            <w:r>
              <w:rPr>
                <w:rFonts w:ascii="Aptos" w:hAnsi="Aptos"/>
                <w:b w:val="0"/>
                <w:sz w:val="18"/>
              </w:rPr>
              <w:t>Integrate progressive AI hints, course-grounded explanations and event logging.</w:t>
            </w:r>
          </w:p>
        </w:tc>
      </w:tr>
      <w:tr>
        <w:tc>
          <w:tcPr>
            <w:tcW w:type="dxa" w:w="4968"/>
            <w:vAlign w:val="center"/>
          </w:tcPr>
          <w:p>
            <w:pPr>
              <w:spacing w:after="20"/>
            </w:pPr>
            <w:r/>
            <w:r>
              <w:rPr>
                <w:rFonts w:ascii="Aptos" w:hAnsi="Aptos"/>
                <w:b/>
                <w:sz w:val="18"/>
              </w:rPr>
              <w:t>Week 6</w:t>
            </w:r>
          </w:p>
        </w:tc>
        <w:tc>
          <w:tcPr>
            <w:tcW w:type="dxa" w:w="4968"/>
            <w:vAlign w:val="center"/>
          </w:tcPr>
          <w:p>
            <w:pPr>
              <w:spacing w:after="20"/>
            </w:pPr>
            <w:r/>
            <w:r>
              <w:rPr>
                <w:rFonts w:ascii="Aptos" w:hAnsi="Aptos"/>
                <w:b w:val="0"/>
                <w:sz w:val="18"/>
              </w:rPr>
              <w:t>Pilot with a small group; refine usability, questions and data capture.</w:t>
            </w:r>
          </w:p>
        </w:tc>
      </w:tr>
      <w:tr>
        <w:tc>
          <w:tcPr>
            <w:tcW w:type="dxa" w:w="4968"/>
            <w:vAlign w:val="center"/>
          </w:tcPr>
          <w:p>
            <w:pPr>
              <w:spacing w:after="20"/>
            </w:pPr>
            <w:r/>
            <w:r>
              <w:rPr>
                <w:rFonts w:ascii="Aptos" w:hAnsi="Aptos"/>
                <w:b/>
                <w:sz w:val="18"/>
              </w:rPr>
              <w:t>Weeks 7–8</w:t>
            </w:r>
          </w:p>
        </w:tc>
        <w:tc>
          <w:tcPr>
            <w:tcW w:type="dxa" w:w="4968"/>
            <w:vAlign w:val="center"/>
          </w:tcPr>
          <w:p>
            <w:pPr>
              <w:spacing w:after="20"/>
            </w:pPr>
            <w:r/>
            <w:r>
              <w:rPr>
                <w:rFonts w:ascii="Aptos" w:hAnsi="Aptos"/>
                <w:b w:val="0"/>
                <w:sz w:val="18"/>
              </w:rPr>
              <w:t>Recruit approved participants, baseline testing and intervention sessions.</w:t>
            </w:r>
          </w:p>
        </w:tc>
      </w:tr>
      <w:tr>
        <w:tc>
          <w:tcPr>
            <w:tcW w:type="dxa" w:w="4968"/>
            <w:vAlign w:val="center"/>
          </w:tcPr>
          <w:p>
            <w:pPr>
              <w:spacing w:after="20"/>
            </w:pPr>
            <w:r/>
            <w:r>
              <w:rPr>
                <w:rFonts w:ascii="Aptos" w:hAnsi="Aptos"/>
                <w:b/>
                <w:sz w:val="18"/>
              </w:rPr>
              <w:t>Weeks 9–10</w:t>
            </w:r>
          </w:p>
        </w:tc>
        <w:tc>
          <w:tcPr>
            <w:tcW w:type="dxa" w:w="4968"/>
            <w:vAlign w:val="center"/>
          </w:tcPr>
          <w:p>
            <w:pPr>
              <w:spacing w:after="20"/>
            </w:pPr>
            <w:r/>
            <w:r>
              <w:rPr>
                <w:rFonts w:ascii="Aptos" w:hAnsi="Aptos"/>
                <w:b w:val="0"/>
                <w:sz w:val="18"/>
              </w:rPr>
              <w:t>Analysis and report; schedule delayed assessments as needed, extending the timeline if necessary.</w:t>
            </w:r>
          </w:p>
        </w:tc>
      </w:tr>
    </w:tbl>
    <w:p>
      <w:pPr>
        <w:pStyle w:val="Heading1"/>
      </w:pPr>
      <w:r>
        <w:t>11. Decisions for the team meeting</w:t>
      </w:r>
    </w:p>
    <w:p>
      <w:r>
        <w:t>Use this checklist to turn the concept into an agreed first experiment.</w:t>
      </w:r>
    </w:p>
    <w:p>
      <w:pPr>
        <w:pStyle w:val="ListBullet"/>
        <w:spacing w:after="60"/>
      </w:pPr>
      <w:r>
        <w:t>☐ Choose the first subject: introductory programming or mathematics.</w:t>
      </w:r>
    </w:p>
    <w:p>
      <w:pPr>
        <w:pStyle w:val="ListBullet"/>
        <w:spacing w:after="60"/>
      </w:pPr>
      <w:r>
        <w:t>☐ Agree on the primary outcome: independent problem-solving.</w:t>
      </w:r>
    </w:p>
    <w:p>
      <w:pPr>
        <w:pStyle w:val="ListBullet"/>
        <w:spacing w:after="60"/>
      </w:pPr>
      <w:r>
        <w:t>☐ Choose the intervention scope: mastery-based sequencing + spaced review + progressive AI hints.</w:t>
      </w:r>
    </w:p>
    <w:p>
      <w:pPr>
        <w:pStyle w:val="ListBullet"/>
        <w:spacing w:after="60"/>
      </w:pPr>
      <w:r>
        <w:t>☐ Define the comparison experience and ensure both groups have comparable learning content and AI access.</w:t>
      </w:r>
    </w:p>
    <w:p>
      <w:pPr>
        <w:pStyle w:val="ListBullet"/>
        <w:spacing w:after="60"/>
      </w:pPr>
      <w:r>
        <w:t>☐ Identify the course content, question bank and answer-validation process.</w:t>
      </w:r>
    </w:p>
    <w:p>
      <w:pPr>
        <w:pStyle w:val="ListBullet"/>
        <w:spacing w:after="60"/>
      </w:pPr>
      <w:r>
        <w:t>☐ Confirm access to participants, a supervisor, ethics approval and a realistic study timeline.</w:t>
      </w:r>
    </w:p>
    <w:p>
      <w:pPr>
        <w:pStyle w:val="ListBullet"/>
        <w:spacing w:after="60"/>
      </w:pPr>
      <w:r>
        <w:t>☐ Assign owners for literature review, learning design, backend/adaptive engine, frontend, assessment and study analysis.</w:t>
      </w:r>
    </w:p>
    <w:p>
      <w:pPr>
        <w:pStyle w:val="ListBullet"/>
        <w:spacing w:after="60"/>
      </w:pPr>
      <w:r>
        <w:t>☐ Agree on criteria for proceeding from pilot to main evaluation.</w:t>
      </w:r>
    </w:p>
    <w:p>
      <w:pPr>
        <w:pStyle w:val="Heading1"/>
      </w:pPr>
      <w:r>
        <w:t>12. Suggested first milestone</w:t>
      </w:r>
    </w:p>
    <w:p>
      <w:r>
        <w:t>Within the first two weeks, produce three artefacts: (1) a literature gap matrix with the closest 15–25 papers, (2) a small topic/prerequisite map with validated exercises, and (3) a one-page evaluation protocol specifying the comparison group, primary outcome and delayed test. Do not expand the product scope until the team can explain exactly what the first experiment is designed to establish.</w:t>
      </w:r>
    </w:p>
    <w:p>
      <w:pPr>
        <w:pStyle w:val="Heading1"/>
      </w:pPr>
      <w:r>
        <w:t>References and starting points</w:t>
      </w:r>
    </w:p>
    <w:p>
      <w:pPr>
        <w:pStyle w:val="ListNumber"/>
        <w:spacing w:after="80"/>
      </w:pPr>
      <w:r>
        <w:t>Dunlosky, J., Rawson, K. A., Marsh, E. J., Nathan, M. J., &amp; Willingham, D. T. (2013). Improving Students’ Learning With Effective Learning Techniques: Promising Directions From Cognitive and Educational Psychology. Psychological Science in the Public Interest, 14(1), 4–58. https://doi.org/10.1111/j.1539-6053.2013.01025.x</w:t>
      </w:r>
    </w:p>
    <w:p>
      <w:pPr>
        <w:pStyle w:val="ListNumber"/>
        <w:spacing w:after="80"/>
      </w:pPr>
      <w:r>
        <w:t>Roediger, H. L., III, &amp; Karpicke, J. D. (2006). Test-Enhanced Learning: Taking Memory Tests Improves Long-Term Retention. Psychological Science, 17(3), 249–255. https://doi.org/10.1111/j.1467-9280.2006.01693.x</w:t>
      </w:r>
    </w:p>
    <w:p>
      <w:pPr>
        <w:pStyle w:val="ListNumber"/>
        <w:spacing w:after="80"/>
      </w:pPr>
      <w:r>
        <w:t>Kulik, J. A., &amp; Fletcher, J. D. (2016). Effectiveness of Intelligent Tutoring Systems: A Meta-Analytic Review. Review of Educational Research, 86(1), 42–78. https://doi.org/10.3102/0034654315581420</w:t>
      </w:r>
    </w:p>
    <w:p>
      <w:pPr>
        <w:pStyle w:val="ListNumber"/>
        <w:spacing w:after="80"/>
      </w:pPr>
      <w:r>
        <w:t>Darvishi, A., Khosravi, H., Sadiq, S., &amp; Gašević, D. (2024). Impact of AI assistance on student agency. Computers &amp; Education. https://doi.org/10.1016/j.compedu.2023.104967</w:t>
      </w:r>
    </w:p>
    <w:p>
      <w:pPr>
        <w:pStyle w:val="ListNumber"/>
        <w:spacing w:after="80"/>
      </w:pPr>
      <w:r>
        <w:t>Merino-Campos, C. (2025). Artificial Intelligence and Personalized Learning: A Systematic Review. Higher Education. https://doi.org/10.3390/higheredu4020017</w:t>
      </w:r>
    </w:p>
    <w:p>
      <w:pPr>
        <w:pStyle w:val="ListNumber"/>
        <w:spacing w:after="80"/>
      </w:pPr>
      <w:r>
        <w:t>Luo, et al. (2025). Systematic review of the design and assessment of AI-based learning tools in higher education. International Journal of Educational Technology in Higher Education. https://link.springer.com/article/10.1186/s41239-025-00540-2</w:t>
      </w:r>
    </w:p>
    <w:p>
      <w:pPr>
        <w:spacing w:before="160"/>
      </w:pPr>
      <w:r>
        <w:rPr>
          <w:b/>
        </w:rPr>
        <w:t xml:space="preserve">Research integrity note: </w:t>
      </w:r>
      <w:r>
        <w:t>Reference details and interpretations should be verified against the publisher or full text before formal submission. The research gap in this brief is provisional and should be confirmed through a documented search strategy and close comparison with prior studies.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Working concept — proposed research, not validated findings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007378"/>
        <w:sz w:val="16"/>
      </w:rPr>
      <w:t>RESEARCH CONCEPT • TEAM DISCUSSION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6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3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36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6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