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Aptos" w:hAnsi="Aptos" w:eastAsia="Aptos"/>
          <w:b/>
          <w:i w:val="0"/>
          <w:color w:val="0F766E"/>
          <w:sz w:val="22"/>
        </w:rPr>
        <w:t>AWARD READINESS PLAN</w:t>
      </w:r>
    </w:p>
    <w:p>
      <w:pPr>
        <w:spacing w:after="140"/>
        <w:jc w:val="center"/>
      </w:pPr>
      <w:r>
        <w:rPr>
          <w:rFonts w:ascii="Aptos" w:hAnsi="Aptos" w:eastAsia="Aptos"/>
          <w:b/>
          <w:i w:val="0"/>
          <w:color w:val="12212E"/>
          <w:sz w:val="64"/>
        </w:rPr>
        <w:t>ReadTune</w:t>
      </w:r>
    </w:p>
    <w:p>
      <w:pPr>
        <w:spacing w:after="480"/>
        <w:jc w:val="center"/>
      </w:pPr>
      <w:r>
        <w:rPr>
          <w:rFonts w:ascii="Aptos" w:hAnsi="Aptos" w:eastAsia="Aptos"/>
          <w:b w:val="0"/>
          <w:i w:val="0"/>
          <w:color w:val="52616B"/>
          <w:sz w:val="30"/>
        </w:rPr>
        <w:t>A 32-day plan to become a credible Accessibility &amp; Health award contender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2F8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164E63"/>
                <w:sz w:val="18"/>
              </w:rPr>
              <w:t xml:space="preserve">THE DECISION  </w:t>
            </w:r>
            <w:r>
              <w:rPr>
                <w:rFonts w:ascii="Aptos" w:hAnsi="Aptos" w:eastAsia="Aptos"/>
                <w:b w:val="0"/>
                <w:i w:val="0"/>
                <w:color w:val="12212E"/>
                <w:sz w:val="20"/>
              </w:rPr>
              <w:t>Do not chase a nominal 100/100 with unsupported claims. Build a judging package that earns near-perfect credibility: a reliable live experience, real participant evidence, disciplined claims, and a technical story that survives questions.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Aptos" w:hAnsi="Aptos" w:eastAsia="Aptos"/>
          <w:b w:val="0"/>
          <w:i w:val="0"/>
          <w:color w:val="52616B"/>
          <w:sz w:val="20"/>
        </w:rPr>
        <w:t>Working window: August 31 - October 2, 2026</w:t>
      </w:r>
      <w:r>
        <w:rPr>
          <w:rFonts w:ascii="Aptos" w:hAnsi="Aptos" w:eastAsia="Aptos"/>
          <w:b w:val="0"/>
          <w:i w:val="0"/>
          <w:color w:val="52616B"/>
          <w:sz w:val="20"/>
        </w:rPr>
        <w:t xml:space="preserve">  |  Chrome Web Store review: reserve 3 days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i w:val="0"/>
          <w:color w:val="164E63"/>
          <w:sz w:val="32"/>
        </w:rPr>
        <w:t>What a winning submission must prove</w:t>
      </w:r>
    </w:p>
    <w:p>
      <w:pPr>
        <w:pStyle w:val="Body"/>
        <w:spacing w:after="140"/>
      </w:pPr>
      <w:r>
        <w:rPr>
          <w:rFonts w:ascii="Aptos" w:hAnsi="Aptos" w:eastAsia="Aptos"/>
          <w:b w:val="0"/>
          <w:i w:val="0"/>
          <w:color w:val="12212E"/>
          <w:sz w:val="21"/>
        </w:rPr>
        <w:t>The build is already unusually ambitious for its age. The remaining month should turn capability into evidence. Judges should be able to see, within five minutes, that ReadTune solves a real reading-friction problem for real people without asking them to surrender their data.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500"/>
        <w:gridCol w:w="4300"/>
        <w:gridCol w:w="3560"/>
      </w:tblGrid>
      <w:tr>
        <w:trPr>
          <w:cantSplit/>
        </w:trPr>
        <w:tc>
          <w:tcPr>
            <w:tcW w:type="dxa" w:w="150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Rubric</w:t>
            </w:r>
          </w:p>
        </w:tc>
        <w:tc>
          <w:tcPr>
            <w:tcW w:type="dxa" w:w="430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What must be true by October 2</w:t>
            </w:r>
          </w:p>
        </w:tc>
        <w:tc>
          <w:tcPr>
            <w:tcW w:type="dxa" w:w="356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Proof the judge sees</w:t>
            </w:r>
          </w:p>
        </w:tc>
      </w:tr>
      <w:tr>
        <w:trPr>
          <w:cantSplit/>
        </w:trPr>
        <w:tc>
          <w:tcPr>
            <w:tcW w:type="dxa" w:w="15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Social impact (40)</w:t>
            </w:r>
          </w:p>
        </w:tc>
        <w:tc>
          <w:tcPr>
            <w:tcW w:type="dxa" w:w="43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The product was shaped by people who experience reading friction; the team can show what changed because of them.</w:t>
            </w:r>
          </w:p>
        </w:tc>
        <w:tc>
          <w:tcPr>
            <w:tcW w:type="dxa" w:w="35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One consented participant moment, 5-8 structured sessions, a change log, and early launch feedback.</w:t>
            </w:r>
          </w:p>
        </w:tc>
      </w:tr>
      <w:tr>
        <w:trPr>
          <w:cantSplit/>
        </w:trPr>
        <w:tc>
          <w:tcPr>
            <w:tcW w:type="dxa" w:w="15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Technical execution (30)</w:t>
            </w:r>
          </w:p>
        </w:tc>
        <w:tc>
          <w:tcPr>
            <w:tcW w:type="dxa" w:w="43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Every advertised path works under demo conditions, including first-use failure handling and restoration.</w:t>
            </w:r>
          </w:p>
        </w:tc>
        <w:tc>
          <w:tcPr>
            <w:tcW w:type="dxa" w:w="356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A rehearsed article, PDF, and TTS flow; automated checks; device smoke tests; an offline or fallback route.</w:t>
            </w:r>
          </w:p>
        </w:tc>
      </w:tr>
      <w:tr>
        <w:trPr>
          <w:cantSplit/>
        </w:trPr>
        <w:tc>
          <w:tcPr>
            <w:tcW w:type="dxa" w:w="15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Innovation (20)</w:t>
            </w:r>
          </w:p>
        </w:tc>
        <w:tc>
          <w:tcPr>
            <w:tcW w:type="dxa" w:w="43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Personalization is framed honestly, and the on-device voice is real rather than a slideware claim.</w:t>
            </w:r>
          </w:p>
        </w:tc>
        <w:tc>
          <w:tcPr>
            <w:tcW w:type="dxa" w:w="35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Calibration as a starting recommendation, plus opt-in Piper running locally after a one-time model download.</w:t>
            </w:r>
          </w:p>
        </w:tc>
      </w:tr>
      <w:tr>
        <w:trPr>
          <w:cantSplit/>
        </w:trPr>
        <w:tc>
          <w:tcPr>
            <w:tcW w:type="dxa" w:w="15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Design (10)</w:t>
            </w:r>
          </w:p>
        </w:tc>
        <w:tc>
          <w:tcPr>
            <w:tcW w:type="dxa" w:w="43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The interface feels calm and intentional, and the product tells the truth at every decision point.</w:t>
            </w:r>
          </w:p>
        </w:tc>
        <w:tc>
          <w:tcPr>
            <w:tcW w:type="dxa" w:w="356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One coherent visual system, clean settings language, and no high-confidence claims the evidence cannot bear.</w:t>
            </w:r>
          </w:p>
        </w:tc>
      </w:tr>
    </w:tbl>
    <w:p>
      <w:pPr>
        <w:spacing w:after="6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1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A16207"/>
                <w:sz w:val="18"/>
              </w:rPr>
              <w:t xml:space="preserve">PRIORITY ORDER  </w:t>
            </w:r>
            <w:r>
              <w:rPr>
                <w:rFonts w:ascii="Aptos" w:hAnsi="Aptos" w:eastAsia="Aptos"/>
                <w:b w:val="0"/>
                <w:i w:val="0"/>
                <w:color w:val="12212E"/>
                <w:sz w:val="20"/>
              </w:rPr>
              <w:t>1) participant evidence and feedback-driven changes; 2) demo reliability; 3) Piper readiness and licensing; 4) calibration language and method; 5) launch feedback. A new feature belongs below these unless it directly fixes participant friction.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Aptos"/>
          <w:b/>
          <w:i w:val="0"/>
          <w:color w:val="164E63"/>
          <w:sz w:val="32"/>
        </w:rPr>
        <w:t>The score pathway</w:t>
      </w:r>
    </w:p>
    <w:p>
      <w:pPr>
        <w:pStyle w:val="Body"/>
        <w:spacing w:after="140"/>
      </w:pPr>
      <w:r>
        <w:rPr>
          <w:rFonts w:ascii="Aptos" w:hAnsi="Aptos" w:eastAsia="Aptos"/>
          <w:b w:val="0"/>
          <w:i w:val="0"/>
          <w:color w:val="12212E"/>
          <w:sz w:val="21"/>
        </w:rPr>
        <w:t>A literal 100/100 is not controllable because judging is comparative. This plan targets the evidence that makes a 90-plus performance plausible against strong competition, especially in the two dimensions that dominate the rubric: social impact and technical execution.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050"/>
        <w:gridCol w:w="4200"/>
        <w:gridCol w:w="3110"/>
      </w:tblGrid>
      <w:tr>
        <w:trPr>
          <w:cantSplit/>
        </w:trPr>
        <w:tc>
          <w:tcPr>
            <w:tcW w:type="dxa" w:w="205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Current risk</w:t>
            </w:r>
          </w:p>
        </w:tc>
        <w:tc>
          <w:tcPr>
            <w:tcW w:type="dxa" w:w="420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Intervention</w:t>
            </w:r>
          </w:p>
        </w:tc>
        <w:tc>
          <w:tcPr>
            <w:tcW w:type="dxa" w:w="311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Expected judging effect</w:t>
            </w:r>
          </w:p>
        </w:tc>
      </w:tr>
      <w:tr>
        <w:trPr>
          <w:cantSplit/>
        </w:trPr>
        <w:tc>
          <w:tcPr>
            <w:tcW w:type="dxa" w:w="20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Impact feels inferred, not observed.</w:t>
            </w:r>
          </w:p>
        </w:tc>
        <w:tc>
          <w:tcPr>
            <w:tcW w:type="dxa" w:w="4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Run 5-8 short, consented sessions with adults who self-identify as dyslexic, ADHD, or experience reading fatigue. Record problems, requests, and what changed.</w:t>
            </w:r>
          </w:p>
        </w:tc>
        <w:tc>
          <w:tcPr>
            <w:tcW w:type="dxa" w:w="311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Moves impact from mission statement to demonstrable co-design.</w:t>
            </w:r>
          </w:p>
        </w:tc>
      </w:tr>
      <w:tr>
        <w:trPr>
          <w:cantSplit/>
        </w:trPr>
        <w:tc>
          <w:tcPr>
            <w:tcW w:type="dxa" w:w="205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Calibration sounds more certain than it is.</w:t>
            </w:r>
          </w:p>
        </w:tc>
        <w:tc>
          <w:tcPr>
            <w:tcW w:type="dxa" w:w="42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Rename results as recommendations; show them as an optional starting point; make the limits explicit in the demo and copy.</w:t>
            </w:r>
          </w:p>
        </w:tc>
        <w:tc>
          <w:tcPr>
            <w:tcW w:type="dxa" w:w="311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Prevents a statistics-minded judge from discounting the whole product.</w:t>
            </w:r>
          </w:p>
        </w:tc>
      </w:tr>
      <w:tr>
        <w:trPr>
          <w:cantSplit/>
        </w:trPr>
        <w:tc>
          <w:tcPr>
            <w:tcW w:type="dxa" w:w="20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Piper is easy to miss or risky to overpromise.</w:t>
            </w:r>
          </w:p>
        </w:tc>
        <w:tc>
          <w:tcPr>
            <w:tcW w:type="dxa" w:w="42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Feature it only after first-use, offline-after-download, lower-end-device, and license checks pass. Otherwise demo browser TTS and describe Piper as opt-in beta work.</w:t>
            </w:r>
          </w:p>
        </w:tc>
        <w:tc>
          <w:tcPr>
            <w:tcW w:type="dxa" w:w="311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Creates a memorable technical distinction without a brittle live gamble.</w:t>
            </w:r>
          </w:p>
        </w:tc>
      </w:tr>
      <w:tr>
        <w:trPr>
          <w:cantSplit/>
        </w:trPr>
        <w:tc>
          <w:tcPr>
            <w:tcW w:type="dxa" w:w="205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Web Store traction arrives late.</w:t>
            </w:r>
          </w:p>
        </w:tc>
        <w:tc>
          <w:tcPr>
            <w:tcW w:type="dxa" w:w="42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Submit early, then use community outreach for feedback requests, not vanity installs. Keep a simple public changelog of feedback-to-change decisions.</w:t>
            </w:r>
          </w:p>
        </w:tc>
        <w:tc>
          <w:tcPr>
            <w:tcW w:type="dxa" w:w="311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Makes launch feedback legible as learning, not marketing.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 w:eastAsia="Aptos"/>
          <w:b/>
          <w:i w:val="0"/>
          <w:color w:val="164E63"/>
          <w:sz w:val="32"/>
        </w:rPr>
        <w:t>Four-week operating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250"/>
        <w:gridCol w:w="1850"/>
        <w:gridCol w:w="4000"/>
        <w:gridCol w:w="2260"/>
      </w:tblGrid>
      <w:tr>
        <w:trPr>
          <w:cantSplit/>
        </w:trPr>
        <w:tc>
          <w:tcPr>
            <w:tcW w:type="dxa" w:w="125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Dates</w:t>
            </w:r>
          </w:p>
        </w:tc>
        <w:tc>
          <w:tcPr>
            <w:tcW w:type="dxa" w:w="185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Outcome</w:t>
            </w:r>
          </w:p>
        </w:tc>
        <w:tc>
          <w:tcPr>
            <w:tcW w:type="dxa" w:w="400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Non-negotiable work</w:t>
            </w:r>
          </w:p>
        </w:tc>
        <w:tc>
          <w:tcPr>
            <w:tcW w:type="dxa" w:w="226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Exit test</w:t>
            </w:r>
          </w:p>
        </w:tc>
      </w:tr>
      <w:tr>
        <w:trPr>
          <w:cantSplit/>
        </w:trPr>
        <w:tc>
          <w:tcPr>
            <w:tcW w:type="dxa" w:w="12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Aug 31 - Sep 4</w:t>
            </w:r>
          </w:p>
        </w:tc>
        <w:tc>
          <w:tcPr>
            <w:tcW w:type="dxa" w:w="18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Release readiness and founder demo</w:t>
            </w:r>
          </w:p>
        </w:tc>
        <w:tc>
          <w:tcPr>
            <w:tcW w:type="dxa" w:w="40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Lock a known-good article and PDF; submit to the Chrome Web Store; prepare launch posts and a feedback intake route; record a baseline founder demo.</w:t>
            </w:r>
          </w:p>
        </w:tc>
        <w:tc>
          <w:tcPr>
            <w:tcW w:type="dxa" w:w="22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Store package submitted; launch materials ready; every demo path works twice in a row.</w:t>
            </w:r>
          </w:p>
        </w:tc>
      </w:tr>
      <w:tr>
        <w:trPr>
          <w:cantSplit/>
        </w:trPr>
        <w:tc>
          <w:tcPr>
            <w:tcW w:type="dxa" w:w="125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Sep 5 - Sep 11</w:t>
            </w:r>
          </w:p>
        </w:tc>
        <w:tc>
          <w:tcPr>
            <w:tcW w:type="dxa" w:w="185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Launch and post-launch recruiting</w:t>
            </w:r>
          </w:p>
        </w:tc>
        <w:tc>
          <w:tcPr>
            <w:tcW w:type="dxa" w:w="40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Publish immediately after approval; post in relevant communities with an explicit feedback ask; recruit only from people who discover the published extension; run 2-3 sessions.</w:t>
            </w:r>
          </w:p>
        </w:tc>
        <w:tc>
          <w:tcPr>
            <w:tcW w:type="dxa" w:w="226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At least two real launch users are scheduled or tested; a feedback log has initial observations.</w:t>
            </w:r>
          </w:p>
        </w:tc>
      </w:tr>
      <w:tr>
        <w:trPr>
          <w:cantSplit/>
        </w:trPr>
        <w:tc>
          <w:tcPr>
            <w:tcW w:type="dxa" w:w="12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Sep 12 - Sep 20</w:t>
            </w:r>
          </w:p>
        </w:tc>
        <w:tc>
          <w:tcPr>
            <w:tcW w:type="dxa" w:w="18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Evidence-driven product changes</w:t>
            </w:r>
          </w:p>
        </w:tc>
        <w:tc>
          <w:tcPr>
            <w:tcW w:type="dxa" w:w="40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Run 3-5 additional sessions with post-launch users; ship only recurring friction fixes; soften calibration and privacy copy; complete Piper readiness decision.</w:t>
            </w:r>
          </w:p>
        </w:tc>
        <w:tc>
          <w:tcPr>
            <w:tcW w:type="dxa" w:w="22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At least two concrete changes trace directly to post-launch feedback; no unqualified outcome claims remain.</w:t>
            </w:r>
          </w:p>
        </w:tc>
      </w:tr>
      <w:tr>
        <w:trPr>
          <w:cantSplit/>
        </w:trPr>
        <w:tc>
          <w:tcPr>
            <w:tcW w:type="dxa" w:w="125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Sep 21 - Sep 27</w:t>
            </w:r>
          </w:p>
        </w:tc>
        <w:tc>
          <w:tcPr>
            <w:tcW w:type="dxa" w:w="185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Proof and rehearsal</w:t>
            </w:r>
          </w:p>
        </w:tc>
        <w:tc>
          <w:tcPr>
            <w:tcW w:type="dxa" w:w="40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Film the participant only after they have used the product; cut captioned proof clip; rehearse five-minute demo; test on a second machine or Chromebook if claiming broad support.</w:t>
            </w:r>
          </w:p>
        </w:tc>
        <w:tc>
          <w:tcPr>
            <w:tcW w:type="dxa" w:w="226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Participant approves their clip; the demo survives a no-network or fallback rehearsal.</w:t>
            </w:r>
          </w:p>
        </w:tc>
      </w:tr>
      <w:tr>
        <w:trPr>
          <w:cantSplit/>
        </w:trPr>
        <w:tc>
          <w:tcPr>
            <w:tcW w:type="dxa" w:w="12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Sep 28 - Oct 2</w:t>
            </w:r>
          </w:p>
        </w:tc>
        <w:tc>
          <w:tcPr>
            <w:tcW w:type="dxa" w:w="18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Submission lock</w:t>
            </w:r>
          </w:p>
        </w:tc>
        <w:tc>
          <w:tcPr>
            <w:tcW w:type="dxa" w:w="40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Freeze feature work; run checks; finalize Devpost, video, store listing, and judge FAQ; rehearse hostile questions.</w:t>
            </w:r>
          </w:p>
        </w:tc>
        <w:tc>
          <w:tcPr>
            <w:tcW w:type="dxa" w:w="22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No last-minute features; every headline claim has a source or a clear limitation.</w:t>
            </w:r>
          </w:p>
        </w:tc>
      </w:tr>
    </w:tbl>
    <w:p>
      <w:pPr>
        <w:spacing w:after="6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1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A16207"/>
                <w:sz w:val="18"/>
              </w:rPr>
              <w:t xml:space="preserve">FIRST 48 HOURS  </w:t>
            </w:r>
            <w:r>
              <w:rPr>
                <w:rFonts w:ascii="Aptos" w:hAnsi="Aptos" w:eastAsia="Aptos"/>
                <w:b w:val="0"/>
                <w:i w:val="0"/>
                <w:color w:val="12212E"/>
                <w:sz w:val="20"/>
              </w:rPr>
              <w:t>Submit the store package; lock the demo article and PDF; record a baseline founder demo in one take; and prepare one clear public feedback request. Recruitment starts only after the extension is publicly available.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i w:val="0"/>
          <w:color w:val="164E63"/>
          <w:sz w:val="32"/>
        </w:rPr>
        <w:t>Real-user evidence plan</w:t>
      </w:r>
    </w:p>
    <w:p>
      <w:pPr>
        <w:pStyle w:val="Body"/>
        <w:spacing w:after="140"/>
      </w:pPr>
      <w:r>
        <w:rPr>
          <w:rFonts w:ascii="Aptos" w:hAnsi="Aptos" w:eastAsia="Aptos"/>
          <w:b w:val="0"/>
          <w:i w:val="0"/>
          <w:color w:val="12212E"/>
          <w:sz w:val="21"/>
        </w:rPr>
        <w:t>Real users are the right evidence for impact. They do not turn the calibration into a clinical result; they show whether ReadTune is useful, respectful, and usable in an actual reading routine. Keep research lightweight, consented, and specific.</w:t>
      </w:r>
    </w:p>
    <w:tbl>
      <w:tblPr>
        <w:tblStyle w:val="TableGrid"/>
        <w:tblW w:type="dxa" w:w="9110"/>
        <w:tblLayout w:type="fixed"/>
        <w:tblLook w:firstColumn="1" w:firstRow="1" w:lastColumn="0" w:lastRow="0" w:noHBand="0" w:noVBand="1" w:val="04A0"/>
      </w:tblPr>
      <w:tblGrid>
        <w:gridCol w:w="1550"/>
        <w:gridCol w:w="4400"/>
        <w:gridCol w:w="3160"/>
      </w:tblGrid>
      <w:tr>
        <w:trPr>
          <w:cantSplit/>
        </w:trPr>
        <w:tc>
          <w:tcPr>
            <w:tcW w:type="dxa" w:w="155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Element</w:t>
            </w:r>
          </w:p>
        </w:tc>
        <w:tc>
          <w:tcPr>
            <w:tcW w:type="dxa" w:w="440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Minimum standard</w:t>
            </w:r>
          </w:p>
        </w:tc>
        <w:tc>
          <w:tcPr>
            <w:tcW w:type="dxa" w:w="316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What to capture</w:t>
            </w:r>
          </w:p>
        </w:tc>
      </w:tr>
      <w:tr>
        <w:trPr>
          <w:cantSplit/>
        </w:trPr>
        <w:tc>
          <w:tcPr>
            <w:tcW w:type="dxa" w:w="15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Participants</w:t>
            </w:r>
          </w:p>
        </w:tc>
        <w:tc>
          <w:tcPr>
            <w:tcW w:type="dxa" w:w="44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5-8 adults recruited after launch from people who discover the published extension. Seek at least two relevant experiences, such as dyslexia, ADHD, or persistent reading fatigue.</w:t>
            </w:r>
          </w:p>
        </w:tc>
        <w:tc>
          <w:tcPr>
            <w:tcW w:type="dxa" w:w="31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Self-described context, discovery channel, device type, reading task, prior assistive tools. Use participant IDs, not names, in the log.</w:t>
            </w:r>
          </w:p>
        </w:tc>
      </w:tr>
      <w:tr>
        <w:trPr>
          <w:cantSplit/>
        </w:trPr>
        <w:tc>
          <w:tcPr>
            <w:tcW w:type="dxa" w:w="155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Session</w:t>
            </w:r>
          </w:p>
        </w:tc>
        <w:tc>
          <w:tcPr>
            <w:tcW w:type="dxa" w:w="44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20-30 minutes. Ask the participant to bring or choose a realistic article, assignment, handout, or PDF.</w:t>
            </w:r>
          </w:p>
        </w:tc>
        <w:tc>
          <w:tcPr>
            <w:tcW w:type="dxa" w:w="316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Where they hesitate, what they choose, what they reject, whether they would use it again, and one direct quote if consented.</w:t>
            </w:r>
          </w:p>
        </w:tc>
      </w:tr>
      <w:tr>
        <w:trPr>
          <w:cantSplit/>
        </w:trPr>
        <w:tc>
          <w:tcPr>
            <w:tcW w:type="dxa" w:w="15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Compensation and consent</w:t>
            </w:r>
          </w:p>
        </w:tc>
        <w:tc>
          <w:tcPr>
            <w:tcW w:type="dxa" w:w="44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Pay for time if possible. Let people stop, withdraw a clip, or refuse recording with no penalty.</w:t>
            </w:r>
          </w:p>
        </w:tc>
        <w:tc>
          <w:tcPr>
            <w:tcW w:type="dxa" w:w="31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A signed or recorded consent decision for research notes and separately for public video/quotes.</w:t>
            </w:r>
          </w:p>
        </w:tc>
      </w:tr>
      <w:tr>
        <w:trPr>
          <w:cantSplit/>
        </w:trPr>
        <w:tc>
          <w:tcPr>
            <w:tcW w:type="dxa" w:w="155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Change log</w:t>
            </w:r>
          </w:p>
        </w:tc>
        <w:tc>
          <w:tcPr>
            <w:tcW w:type="dxa" w:w="44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Make at least two product changes from repeated signals. Do not invent a change if feedback is mixed.</w:t>
            </w:r>
          </w:p>
        </w:tc>
        <w:tc>
          <w:tcPr>
            <w:tcW w:type="dxa" w:w="316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Signal -&gt; decision -&gt; shipped change -&gt; participant response after retest, if available.</w:t>
            </w:r>
          </w:p>
        </w:tc>
      </w:tr>
    </w:tbl>
    <w:p>
      <w:pPr>
        <w:spacing w:after="6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6F3F1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0F766E"/>
                <w:sz w:val="18"/>
              </w:rPr>
              <w:t xml:space="preserve">RECRUITING SCRIPT  </w:t>
            </w:r>
            <w:r>
              <w:rPr>
                <w:rFonts w:ascii="Aptos" w:hAnsi="Aptos" w:eastAsia="Aptos"/>
                <w:b w:val="0"/>
                <w:i w:val="0"/>
                <w:color w:val="12212E"/>
                <w:sz w:val="20"/>
              </w:rPr>
              <w:t>I built a free Chrome extension for people who experience reading friction. I am looking for adults who are willing to try it on one real reading task for 20-30 minutes. This is product feedback, not medical research. I will pay [amount] for your time; recording is optional, and you can stop at any time.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i w:val="0"/>
          <w:color w:val="164E63"/>
          <w:sz w:val="32"/>
        </w:rPr>
        <w:t>Calibration: make it useful, not pseudo-scientific</w:t>
      </w:r>
    </w:p>
    <w:p>
      <w:pPr>
        <w:pStyle w:val="Body"/>
        <w:spacing w:after="140"/>
      </w:pPr>
      <w:r>
        <w:rPr>
          <w:rFonts w:ascii="Aptos" w:hAnsi="Aptos" w:eastAsia="Aptos"/>
          <w:b w:val="0"/>
          <w:i w:val="0"/>
          <w:color w:val="12212E"/>
          <w:sz w:val="21"/>
        </w:rPr>
        <w:t>The current calibration is an intelligent product heuristic, not a statistically defensible test. The winning move is not to hide that fact. Make the workflow humble and helpful: it offers a small set of settings to try, then lets the reader keep, change, or ignore them.</w:t>
      </w:r>
    </w:p>
    <w:tbl>
      <w:tblPr>
        <w:tblStyle w:val="TableGrid"/>
        <w:tblW w:type="dxa" w:w="9110"/>
        <w:tblLayout w:type="fixed"/>
        <w:tblLook w:firstColumn="1" w:firstRow="1" w:lastColumn="0" w:lastRow="0" w:noHBand="0" w:noVBand="1" w:val="04A0"/>
      </w:tblPr>
      <w:tblGrid>
        <w:gridCol w:w="2050"/>
        <w:gridCol w:w="4000"/>
        <w:gridCol w:w="3060"/>
      </w:tblGrid>
      <w:tr>
        <w:trPr>
          <w:cantSplit/>
        </w:trPr>
        <w:tc>
          <w:tcPr>
            <w:tcW w:type="dxa" w:w="205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Before October 2</w:t>
            </w:r>
          </w:p>
        </w:tc>
        <w:tc>
          <w:tcPr>
            <w:tcW w:type="dxa" w:w="400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Change</w:t>
            </w:r>
          </w:p>
        </w:tc>
        <w:tc>
          <w:tcPr>
            <w:tcW w:type="dxa" w:w="306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rPr>
          <w:cantSplit/>
        </w:trPr>
        <w:tc>
          <w:tcPr>
            <w:tcW w:type="dxa" w:w="20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Copy</w:t>
            </w:r>
          </w:p>
        </w:tc>
        <w:tc>
          <w:tcPr>
            <w:tcW w:type="dxa" w:w="40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Replace “what actually helps you read,” “confidence,” and “best setup” with “settings to try,” “how consistent this result was,” and “your starting setup.”</w:t>
            </w:r>
          </w:p>
        </w:tc>
        <w:tc>
          <w:tcPr>
            <w:tcW w:type="dxa" w:w="3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The current study uses one short passage per condition, fixed baseline order, self-timed reading, and heuristic score weights.</w:t>
            </w:r>
          </w:p>
        </w:tc>
      </w:tr>
      <w:tr>
        <w:trPr>
          <w:cantSplit/>
        </w:trPr>
        <w:tc>
          <w:tcPr>
            <w:tcW w:type="dxa" w:w="205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Product</w:t>
            </w:r>
          </w:p>
        </w:tc>
        <w:tc>
          <w:tcPr>
            <w:tcW w:type="dxa" w:w="40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Add an explicit “keep exploring” / “not for me” action on results. Let users see which settings were tested and which were not.</w:t>
            </w:r>
          </w:p>
        </w:tc>
        <w:tc>
          <w:tcPr>
            <w:tcW w:type="dxa" w:w="306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Prevents the profile from claiming authority over TTS, size, tint, or other settings the test did not measure.</w:t>
            </w:r>
          </w:p>
        </w:tc>
      </w:tr>
      <w:tr>
        <w:trPr>
          <w:cantSplit/>
        </w:trPr>
        <w:tc>
          <w:tcPr>
            <w:tcW w:type="dxa" w:w="20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Demo</w:t>
            </w:r>
          </w:p>
        </w:tc>
        <w:tc>
          <w:tcPr>
            <w:tcW w:type="dxa" w:w="40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Say: “This is a quick, local preference check, not a diagnostic or clinical assessment.”</w:t>
            </w:r>
          </w:p>
        </w:tc>
        <w:tc>
          <w:tcPr>
            <w:tcW w:type="dxa" w:w="306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A judge who knows statistics will trust a product that states its boundary.</w:t>
            </w:r>
          </w:p>
        </w:tc>
      </w:tr>
      <w:tr>
        <w:trPr>
          <w:cantSplit/>
        </w:trPr>
        <w:tc>
          <w:tcPr>
            <w:tcW w:type="dxa" w:w="205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If time permits</w:t>
            </w:r>
          </w:p>
        </w:tc>
        <w:tc>
          <w:tcPr>
            <w:tcW w:type="dxa" w:w="40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Counterbalance the baseline and repeat one condition, then describe it as a more robust pilot, not proof.</w:t>
            </w:r>
          </w:p>
        </w:tc>
        <w:tc>
          <w:tcPr>
            <w:tcW w:type="dxa" w:w="306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Improves order-effect exposure but still does not create a validated assessment.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 w:eastAsia="Aptos"/>
          <w:b/>
          <w:i w:val="0"/>
          <w:color w:val="164E63"/>
          <w:sz w:val="32"/>
        </w:rPr>
        <w:t>Piper: a high-upside, gated differentiator</w:t>
      </w:r>
    </w:p>
    <w:p>
      <w:pPr>
        <w:pStyle w:val="Body"/>
        <w:spacing w:after="140"/>
      </w:pPr>
      <w:r>
        <w:rPr>
          <w:rFonts w:ascii="Aptos" w:hAnsi="Aptos" w:eastAsia="Aptos"/>
          <w:b w:val="0"/>
          <w:i w:val="0"/>
          <w:color w:val="12212E"/>
          <w:sz w:val="21"/>
        </w:rPr>
        <w:t>Piper can be one of the strongest technical and innovation moments: a natural-sounding voice that runs locally after an opt-in one-time model download. But it must never outrun its proof. The repository contains the implemented client, worker, controls, and test coverage; the planning document is behind the code and should be updated before submission.</w:t>
      </w:r>
    </w:p>
    <w:p>
      <w:pPr>
        <w:pStyle w:val="Heading2"/>
        <w:keepNext/>
      </w:pPr>
      <w:r>
        <w:rPr>
          <w:rFonts w:ascii="Aptos" w:hAnsi="Aptos" w:eastAsia="Aptos"/>
          <w:b/>
          <w:i w:val="0"/>
          <w:color w:val="0F766E"/>
          <w:sz w:val="25"/>
        </w:rPr>
        <w:t>Piper ship gate</w:t>
      </w:r>
    </w:p>
    <w:p>
      <w:pPr>
        <w:pStyle w:val="Body"/>
        <w:spacing w:after="80"/>
      </w:pPr>
      <w:r>
        <w:rPr>
          <w:rFonts w:ascii="Aptos" w:hAnsi="Aptos" w:eastAsia="Aptos"/>
          <w:b/>
          <w:i w:val="0"/>
          <w:color w:val="0F766E"/>
          <w:sz w:val="21"/>
        </w:rPr>
        <w:t xml:space="preserve">[ ] </w:t>
      </w:r>
      <w:r>
        <w:rPr>
          <w:rFonts w:ascii="Aptos" w:hAnsi="Aptos" w:eastAsia="Aptos"/>
          <w:b w:val="0"/>
          <w:i w:val="0"/>
          <w:color w:val="12212E"/>
          <w:sz w:val="21"/>
        </w:rPr>
        <w:t>Confirm end-to-end first use on a clean Chrome profile: permission, visible model-download progress, synthesis, sentence highlighting, and recovery from a failed download.</w:t>
      </w:r>
    </w:p>
    <w:p>
      <w:pPr>
        <w:pStyle w:val="Body"/>
        <w:spacing w:after="80"/>
      </w:pPr>
      <w:r>
        <w:rPr>
          <w:rFonts w:ascii="Aptos" w:hAnsi="Aptos" w:eastAsia="Aptos"/>
          <w:b/>
          <w:i w:val="0"/>
          <w:color w:val="0F766E"/>
          <w:sz w:val="21"/>
        </w:rPr>
        <w:t xml:space="preserve">[ ] </w:t>
      </w:r>
      <w:r>
        <w:rPr>
          <w:rFonts w:ascii="Aptos" w:hAnsi="Aptos" w:eastAsia="Aptos"/>
          <w:b w:val="0"/>
          <w:i w:val="0"/>
          <w:color w:val="12212E"/>
          <w:sz w:val="21"/>
        </w:rPr>
        <w:t>Test on one constrained device or a meaningful CPU/network-throttle setup. If it cannot keep up, do not promise Chromebook performance.</w:t>
      </w:r>
    </w:p>
    <w:p>
      <w:pPr>
        <w:pStyle w:val="Body"/>
        <w:spacing w:after="80"/>
      </w:pPr>
      <w:r>
        <w:rPr>
          <w:rFonts w:ascii="Aptos" w:hAnsi="Aptos" w:eastAsia="Aptos"/>
          <w:b/>
          <w:i w:val="0"/>
          <w:color w:val="0F766E"/>
          <w:sz w:val="21"/>
        </w:rPr>
        <w:t xml:space="preserve">[ ] </w:t>
      </w:r>
      <w:r>
        <w:rPr>
          <w:rFonts w:ascii="Aptos" w:hAnsi="Aptos" w:eastAsia="Aptos"/>
          <w:b w:val="0"/>
          <w:i w:val="0"/>
          <w:color w:val="12212E"/>
          <w:sz w:val="21"/>
        </w:rPr>
        <w:t>Resolve the licensing note in docs/PIPER.md before presenting or distributing the packaged runtime. The document itself flags an espeak-ng GPL concern; do not treat it as closed until verified.</w:t>
      </w:r>
    </w:p>
    <w:p>
      <w:pPr>
        <w:pStyle w:val="Body"/>
        <w:spacing w:after="80"/>
      </w:pPr>
      <w:r>
        <w:rPr>
          <w:rFonts w:ascii="Aptos" w:hAnsi="Aptos" w:eastAsia="Aptos"/>
          <w:b/>
          <w:i w:val="0"/>
          <w:color w:val="0F766E"/>
          <w:sz w:val="21"/>
        </w:rPr>
        <w:t xml:space="preserve">[ ] </w:t>
      </w:r>
      <w:r>
        <w:rPr>
          <w:rFonts w:ascii="Aptos" w:hAnsi="Aptos" w:eastAsia="Aptos"/>
          <w:b w:val="0"/>
          <w:i w:val="0"/>
          <w:color w:val="12212E"/>
          <w:sz w:val="21"/>
        </w:rPr>
        <w:t>Make copy precise: the optional model downloads from Hugging Face once; reading text remains local. Do not use “nothing leaves your device” as a blanket statement.</w:t>
      </w:r>
    </w:p>
    <w:p>
      <w:pPr>
        <w:pStyle w:val="Body"/>
        <w:spacing w:after="80"/>
      </w:pPr>
      <w:r>
        <w:rPr>
          <w:rFonts w:ascii="Aptos" w:hAnsi="Aptos" w:eastAsia="Aptos"/>
          <w:b/>
          <w:i w:val="0"/>
          <w:color w:val="0F766E"/>
          <w:sz w:val="21"/>
        </w:rPr>
        <w:t xml:space="preserve">[ ] </w:t>
      </w:r>
      <w:r>
        <w:rPr>
          <w:rFonts w:ascii="Aptos" w:hAnsi="Aptos" w:eastAsia="Aptos"/>
          <w:b w:val="0"/>
          <w:i w:val="0"/>
          <w:color w:val="12212E"/>
          <w:sz w:val="21"/>
        </w:rPr>
        <w:t>Keep browser TTS as the known-good fallback in the demo. Piper is a differentiator, not a single point of failure.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i w:val="0"/>
          <w:color w:val="164E63"/>
          <w:sz w:val="32"/>
        </w:rPr>
        <w:t>Five-minute judge demo</w:t>
      </w:r>
    </w:p>
    <w:tbl>
      <w:tblPr>
        <w:tblStyle w:val="TableGrid"/>
        <w:tblW w:type="dxa" w:w="9110"/>
        <w:tblLayout w:type="fixed"/>
        <w:tblLook w:firstColumn="1" w:firstRow="1" w:lastColumn="0" w:lastRow="0" w:noHBand="0" w:noVBand="1" w:val="04A0"/>
      </w:tblPr>
      <w:tblGrid>
        <w:gridCol w:w="800"/>
        <w:gridCol w:w="5300"/>
        <w:gridCol w:w="3010"/>
      </w:tblGrid>
      <w:tr>
        <w:trPr>
          <w:cantSplit/>
        </w:trPr>
        <w:tc>
          <w:tcPr>
            <w:tcW w:type="dxa" w:w="80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Time</w:t>
            </w:r>
          </w:p>
        </w:tc>
        <w:tc>
          <w:tcPr>
            <w:tcW w:type="dxa" w:w="530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Moment</w:t>
            </w:r>
          </w:p>
        </w:tc>
        <w:tc>
          <w:tcPr>
            <w:tcW w:type="dxa" w:w="301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What it proves</w:t>
            </w:r>
          </w:p>
        </w:tc>
      </w:tr>
      <w:tr>
        <w:trPr>
          <w:cantSplit/>
        </w:trPr>
        <w:tc>
          <w:tcPr>
            <w:tcW w:type="dxa" w:w="8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0:00-0:25</w:t>
            </w:r>
          </w:p>
        </w:tc>
        <w:tc>
          <w:tcPr>
            <w:tcW w:type="dxa" w:w="53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A real participant’s one-sentence problem statement or approved clip, followed by one realistic hard-to-read source page.</w:t>
            </w:r>
          </w:p>
        </w:tc>
        <w:tc>
          <w:tcPr>
            <w:tcW w:type="dxa" w:w="301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Impact is grounded in a person, not an abstract persona.</w:t>
            </w:r>
          </w:p>
        </w:tc>
      </w:tr>
      <w:tr>
        <w:trPr>
          <w:cantSplit/>
        </w:trPr>
        <w:tc>
          <w:tcPr>
            <w:tcW w:type="dxa" w:w="8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0:25-1:20</w:t>
            </w:r>
          </w:p>
        </w:tc>
        <w:tc>
          <w:tcPr>
            <w:tcW w:type="dxa" w:w="53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Reader View transforms the source. Let the participant’s chosen settings remain visible; do not claim they are universally better.</w:t>
            </w:r>
          </w:p>
        </w:tc>
        <w:tc>
          <w:tcPr>
            <w:tcW w:type="dxa" w:w="301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The core transformation is immediate and legible.</w:t>
            </w:r>
          </w:p>
        </w:tc>
      </w:tr>
      <w:tr>
        <w:trPr>
          <w:cantSplit/>
        </w:trPr>
        <w:tc>
          <w:tcPr>
            <w:tcW w:type="dxa" w:w="8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1:20-2:05</w:t>
            </w:r>
          </w:p>
        </w:tc>
        <w:tc>
          <w:tcPr>
            <w:tcW w:type="dxa" w:w="53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Read-aloud with sentence-following. Use Piper only if the ship gate is clear; otherwise use browser voice and mention local-first design.</w:t>
            </w:r>
          </w:p>
        </w:tc>
        <w:tc>
          <w:tcPr>
            <w:tcW w:type="dxa" w:w="301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Accessible multimodal support works, not just a styling layer.</w:t>
            </w:r>
          </w:p>
        </w:tc>
      </w:tr>
      <w:tr>
        <w:trPr>
          <w:cantSplit/>
        </w:trPr>
        <w:tc>
          <w:tcPr>
            <w:tcW w:type="dxa" w:w="8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2:05-2:45</w:t>
            </w:r>
          </w:p>
        </w:tc>
        <w:tc>
          <w:tcPr>
            <w:tcW w:type="dxa" w:w="53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Show the quick calibration as an optional starting recommendation, including the “you can change this” decision point.</w:t>
            </w:r>
          </w:p>
        </w:tc>
        <w:tc>
          <w:tcPr>
            <w:tcW w:type="dxa" w:w="301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Personalization without medical or statistical overclaim.</w:t>
            </w:r>
          </w:p>
        </w:tc>
      </w:tr>
      <w:tr>
        <w:trPr>
          <w:cantSplit/>
        </w:trPr>
        <w:tc>
          <w:tcPr>
            <w:tcW w:type="dxa" w:w="8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2:45-3:35</w:t>
            </w:r>
          </w:p>
        </w:tc>
        <w:tc>
          <w:tcPr>
            <w:tcW w:type="dxa" w:w="53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Open the same result on a PDF or in-page restyle. Demonstrate restoration or exit cleanly.</w:t>
            </w:r>
          </w:p>
        </w:tc>
        <w:tc>
          <w:tcPr>
            <w:tcW w:type="dxa" w:w="301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Execution across the surfaces a reader actually encounters.</w:t>
            </w:r>
          </w:p>
        </w:tc>
      </w:tr>
      <w:tr>
        <w:trPr>
          <w:cantSplit/>
        </w:trPr>
        <w:tc>
          <w:tcPr>
            <w:tcW w:type="dxa" w:w="8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3:35-4:20</w:t>
            </w:r>
          </w:p>
        </w:tc>
        <w:tc>
          <w:tcPr>
            <w:tcW w:type="dxa" w:w="530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Show the feedback-to-change log: two specific participant requests and the shipped responses.</w:t>
            </w:r>
          </w:p>
        </w:tc>
        <w:tc>
          <w:tcPr>
            <w:tcW w:type="dxa" w:w="301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Social impact is a development practice, not a slogan.</w:t>
            </w:r>
          </w:p>
        </w:tc>
      </w:tr>
      <w:tr>
        <w:trPr>
          <w:cantSplit/>
        </w:trPr>
        <w:tc>
          <w:tcPr>
            <w:tcW w:type="dxa" w:w="8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4:20-5:00</w:t>
            </w:r>
          </w:p>
        </w:tc>
        <w:tc>
          <w:tcPr>
            <w:tcW w:type="dxa" w:w="530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Close with the privacy boundary: local by default; optional services are clearly disclosed; no account or tracking needed.</w:t>
            </w:r>
          </w:p>
        </w:tc>
        <w:tc>
          <w:tcPr>
            <w:tcW w:type="dxa" w:w="301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Trust and access are built into the product model.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 w:eastAsia="Aptos"/>
          <w:b/>
          <w:i w:val="0"/>
          <w:color w:val="164E63"/>
          <w:sz w:val="32"/>
        </w:rPr>
        <w:t>Claim discipline</w:t>
      </w:r>
    </w:p>
    <w:tbl>
      <w:tblPr>
        <w:tblStyle w:val="TableGrid"/>
        <w:tblW w:type="dxa" w:w="911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3350"/>
      </w:tblGrid>
      <w:tr>
        <w:trPr>
          <w:cantSplit/>
        </w:trPr>
        <w:tc>
          <w:tcPr>
            <w:tcW w:type="dxa" w:w="288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Use this</w:t>
            </w:r>
          </w:p>
        </w:tc>
        <w:tc>
          <w:tcPr>
            <w:tcW w:type="dxa" w:w="288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Avoid this</w:t>
            </w:r>
          </w:p>
        </w:tc>
        <w:tc>
          <w:tcPr>
            <w:tcW w:type="dxa" w:w="3350"/>
            <w:shd w:fill="164E63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Why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“A free, local-first reading-support extension that lets readers try a calmer setup across articles and PDFs.”</w:t>
            </w:r>
          </w:p>
        </w:tc>
        <w:tc>
          <w:tcPr>
            <w:tcW w:type="dxa" w:w="288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“ReadTune fixes dyslexia” or “treats reading disorders.”</w:t>
            </w:r>
          </w:p>
        </w:tc>
        <w:tc>
          <w:tcPr>
            <w:tcW w:type="dxa" w:w="33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The product supports reading; it does not provide a medical intervention.</w:t>
            </w:r>
          </w:p>
        </w:tc>
      </w:tr>
      <w:tr>
        <w:trPr>
          <w:cantSplit/>
        </w:trPr>
        <w:tc>
          <w:tcPr>
            <w:tcW w:type="dxa" w:w="288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“A quick preference check that suggests settings to try.”</w:t>
            </w:r>
          </w:p>
        </w:tc>
        <w:tc>
          <w:tcPr>
            <w:tcW w:type="dxa" w:w="288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“Measures what actually helps you read” or “your best setup.”</w:t>
            </w:r>
          </w:p>
        </w:tc>
        <w:tc>
          <w:tcPr>
            <w:tcW w:type="dxa" w:w="335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The calibration is a heuristic with substantial design shortcuts.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“Reading text stays on-device with browser TTS and Piper; optional ElevenLabs sends selected text to the user’s own account.”</w:t>
            </w:r>
          </w:p>
        </w:tc>
        <w:tc>
          <w:tcPr>
            <w:tcW w:type="dxa" w:w="288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“Nothing leaves your device.”</w:t>
            </w:r>
          </w:p>
        </w:tc>
        <w:tc>
          <w:tcPr>
            <w:tcW w:type="dxa" w:w="3350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The blanket claim is false for opted-in online voice and the Piper model download.</w:t>
            </w:r>
          </w:p>
        </w:tc>
      </w:tr>
      <w:tr>
        <w:trPr>
          <w:cantSplit/>
        </w:trPr>
        <w:tc>
          <w:tcPr>
            <w:tcW w:type="dxa" w:w="288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“Participant feedback shaped these changes.”</w:t>
            </w:r>
          </w:p>
        </w:tc>
        <w:tc>
          <w:tcPr>
            <w:tcW w:type="dxa" w:w="288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“Proven to improve comprehension.”</w:t>
            </w:r>
          </w:p>
        </w:tc>
        <w:tc>
          <w:tcPr>
            <w:tcW w:type="dxa" w:w="3350"/>
            <w:shd w:fill="F4F6F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2212E"/>
                <w:sz w:val="18"/>
              </w:rPr>
              <w:t>Usability sessions are excellent impact evidence but do not establish clinical efficacy.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Aptos"/>
          <w:b/>
          <w:i w:val="0"/>
          <w:color w:val="164E63"/>
          <w:sz w:val="32"/>
        </w:rPr>
        <w:t>Submission lock checklist</w:t>
      </w:r>
    </w:p>
    <w:p>
      <w:pPr>
        <w:pStyle w:val="Heading2"/>
        <w:keepNext/>
      </w:pPr>
      <w:r>
        <w:rPr>
          <w:rFonts w:ascii="Aptos" w:hAnsi="Aptos" w:eastAsia="Aptos"/>
          <w:b/>
          <w:i w:val="0"/>
          <w:color w:val="0F766E"/>
          <w:sz w:val="25"/>
        </w:rPr>
        <w:t>Product</w:t>
      </w:r>
    </w:p>
    <w:p>
      <w:pPr>
        <w:pStyle w:val="Body"/>
        <w:spacing w:after="80"/>
      </w:pPr>
      <w:r>
        <w:rPr>
          <w:rFonts w:ascii="Aptos" w:hAnsi="Aptos" w:eastAsia="Aptos"/>
          <w:b/>
          <w:i w:val="0"/>
          <w:color w:val="0F766E"/>
          <w:sz w:val="21"/>
        </w:rPr>
        <w:t xml:space="preserve">[ ] </w:t>
      </w:r>
      <w:r>
        <w:rPr>
          <w:rFonts w:ascii="Aptos" w:hAnsi="Aptos" w:eastAsia="Aptos"/>
          <w:b w:val="0"/>
          <w:i w:val="0"/>
          <w:color w:val="12212E"/>
          <w:sz w:val="21"/>
        </w:rPr>
        <w:t>Known-good demo article and PDF are locally saved or reliably available.</w:t>
      </w:r>
    </w:p>
    <w:p>
      <w:pPr>
        <w:pStyle w:val="Body"/>
        <w:spacing w:after="80"/>
      </w:pPr>
      <w:r>
        <w:rPr>
          <w:rFonts w:ascii="Aptos" w:hAnsi="Aptos" w:eastAsia="Aptos"/>
          <w:b/>
          <w:i w:val="0"/>
          <w:color w:val="0F766E"/>
          <w:sz w:val="21"/>
        </w:rPr>
        <w:t xml:space="preserve">[ ] </w:t>
      </w:r>
      <w:r>
        <w:rPr>
          <w:rFonts w:ascii="Aptos" w:hAnsi="Aptos" w:eastAsia="Aptos"/>
          <w:b w:val="0"/>
          <w:i w:val="0"/>
          <w:color w:val="12212E"/>
          <w:sz w:val="21"/>
        </w:rPr>
        <w:t>Reader View, in-page restyle, PDF view, calibration, and browser TTS pass twice in a fresh profile.</w:t>
      </w:r>
    </w:p>
    <w:p>
      <w:pPr>
        <w:pStyle w:val="Body"/>
        <w:spacing w:after="80"/>
      </w:pPr>
      <w:r>
        <w:rPr>
          <w:rFonts w:ascii="Aptos" w:hAnsi="Aptos" w:eastAsia="Aptos"/>
          <w:b/>
          <w:i w:val="0"/>
          <w:color w:val="0F766E"/>
          <w:sz w:val="21"/>
        </w:rPr>
        <w:t xml:space="preserve">[ ] </w:t>
      </w:r>
      <w:r>
        <w:rPr>
          <w:rFonts w:ascii="Aptos" w:hAnsi="Aptos" w:eastAsia="Aptos"/>
          <w:b w:val="0"/>
          <w:i w:val="0"/>
          <w:color w:val="12212E"/>
          <w:sz w:val="21"/>
        </w:rPr>
        <w:t>If Piper is shown: every ship-gate item passes. If not: remove it from hero claims and show it only as clearly labelled optional work.</w:t>
      </w:r>
    </w:p>
    <w:p>
      <w:pPr>
        <w:pStyle w:val="Body"/>
        <w:spacing w:after="80"/>
      </w:pPr>
      <w:r>
        <w:rPr>
          <w:rFonts w:ascii="Aptos" w:hAnsi="Aptos" w:eastAsia="Aptos"/>
          <w:b/>
          <w:i w:val="0"/>
          <w:color w:val="0F766E"/>
          <w:sz w:val="21"/>
        </w:rPr>
        <w:t xml:space="preserve">[ ] </w:t>
      </w:r>
      <w:r>
        <w:rPr>
          <w:rFonts w:ascii="Aptos" w:hAnsi="Aptos" w:eastAsia="Aptos"/>
          <w:b w:val="0"/>
          <w:i w:val="0"/>
          <w:color w:val="12212E"/>
          <w:sz w:val="21"/>
        </w:rPr>
        <w:t>All privacy and store copy distinguish browser TTS, Piper’s one-time download, and optional ElevenLabs transmission.</w:t>
      </w:r>
    </w:p>
    <w:p>
      <w:pPr>
        <w:pStyle w:val="Heading2"/>
        <w:keepNext/>
      </w:pPr>
      <w:r>
        <w:rPr>
          <w:rFonts w:ascii="Aptos" w:hAnsi="Aptos" w:eastAsia="Aptos"/>
          <w:b/>
          <w:i w:val="0"/>
          <w:color w:val="0F766E"/>
          <w:sz w:val="25"/>
        </w:rPr>
        <w:t>Evidence</w:t>
      </w:r>
    </w:p>
    <w:p>
      <w:pPr>
        <w:pStyle w:val="Body"/>
        <w:spacing w:after="80"/>
      </w:pPr>
      <w:r>
        <w:rPr>
          <w:rFonts w:ascii="Aptos" w:hAnsi="Aptos" w:eastAsia="Aptos"/>
          <w:b/>
          <w:i w:val="0"/>
          <w:color w:val="0F766E"/>
          <w:sz w:val="21"/>
        </w:rPr>
        <w:t xml:space="preserve">[ ] </w:t>
      </w:r>
      <w:r>
        <w:rPr>
          <w:rFonts w:ascii="Aptos" w:hAnsi="Aptos" w:eastAsia="Aptos"/>
          <w:b w:val="0"/>
          <w:i w:val="0"/>
          <w:color w:val="12212E"/>
          <w:sz w:val="21"/>
        </w:rPr>
        <w:t>5-8 sessions are documented with consent, participant IDs, observations, and decisions.</w:t>
      </w:r>
    </w:p>
    <w:p>
      <w:pPr>
        <w:pStyle w:val="Body"/>
        <w:spacing w:after="80"/>
      </w:pPr>
      <w:r>
        <w:rPr>
          <w:rFonts w:ascii="Aptos" w:hAnsi="Aptos" w:eastAsia="Aptos"/>
          <w:b/>
          <w:i w:val="0"/>
          <w:color w:val="0F766E"/>
          <w:sz w:val="21"/>
        </w:rPr>
        <w:t xml:space="preserve">[ ] </w:t>
      </w:r>
      <w:r>
        <w:rPr>
          <w:rFonts w:ascii="Aptos" w:hAnsi="Aptos" w:eastAsia="Aptos"/>
          <w:b w:val="0"/>
          <w:i w:val="0"/>
          <w:color w:val="12212E"/>
          <w:sz w:val="21"/>
        </w:rPr>
        <w:t>At least two feedback-driven changes are shipped and visible in a small changelog.</w:t>
      </w:r>
    </w:p>
    <w:p>
      <w:pPr>
        <w:pStyle w:val="Body"/>
        <w:spacing w:after="80"/>
      </w:pPr>
      <w:r>
        <w:rPr>
          <w:rFonts w:ascii="Aptos" w:hAnsi="Aptos" w:eastAsia="Aptos"/>
          <w:b/>
          <w:i w:val="0"/>
          <w:color w:val="0F766E"/>
          <w:sz w:val="21"/>
        </w:rPr>
        <w:t xml:space="preserve">[ ] </w:t>
      </w:r>
      <w:r>
        <w:rPr>
          <w:rFonts w:ascii="Aptos" w:hAnsi="Aptos" w:eastAsia="Aptos"/>
          <w:b w:val="0"/>
          <w:i w:val="0"/>
          <w:color w:val="12212E"/>
          <w:sz w:val="21"/>
        </w:rPr>
        <w:t>The demo participant has reviewed and approved the exact public clip or quote.</w:t>
      </w:r>
    </w:p>
    <w:p>
      <w:pPr>
        <w:pStyle w:val="Body"/>
        <w:spacing w:after="80"/>
      </w:pPr>
      <w:r>
        <w:rPr>
          <w:rFonts w:ascii="Aptos" w:hAnsi="Aptos" w:eastAsia="Aptos"/>
          <w:b/>
          <w:i w:val="0"/>
          <w:color w:val="0F766E"/>
          <w:sz w:val="21"/>
        </w:rPr>
        <w:t xml:space="preserve">[ ] </w:t>
      </w:r>
      <w:r>
        <w:rPr>
          <w:rFonts w:ascii="Aptos" w:hAnsi="Aptos" w:eastAsia="Aptos"/>
          <w:b w:val="0"/>
          <w:i w:val="0"/>
          <w:color w:val="12212E"/>
          <w:sz w:val="21"/>
        </w:rPr>
        <w:t>Any launch feedback is dated and described as early feedback, not product efficacy evidence.</w:t>
      </w:r>
    </w:p>
    <w:p>
      <w:pPr>
        <w:pStyle w:val="Heading2"/>
        <w:keepNext/>
      </w:pPr>
      <w:r>
        <w:rPr>
          <w:rFonts w:ascii="Aptos" w:hAnsi="Aptos" w:eastAsia="Aptos"/>
          <w:b/>
          <w:i w:val="0"/>
          <w:color w:val="0F766E"/>
          <w:sz w:val="25"/>
        </w:rPr>
        <w:t>Presentation</w:t>
      </w:r>
    </w:p>
    <w:p>
      <w:pPr>
        <w:pStyle w:val="Body"/>
        <w:spacing w:after="80"/>
      </w:pPr>
      <w:r>
        <w:rPr>
          <w:rFonts w:ascii="Aptos" w:hAnsi="Aptos" w:eastAsia="Aptos"/>
          <w:b/>
          <w:i w:val="0"/>
          <w:color w:val="0F766E"/>
          <w:sz w:val="21"/>
        </w:rPr>
        <w:t xml:space="preserve">[ ] </w:t>
      </w:r>
      <w:r>
        <w:rPr>
          <w:rFonts w:ascii="Aptos" w:hAnsi="Aptos" w:eastAsia="Aptos"/>
          <w:b w:val="0"/>
          <w:i w:val="0"/>
          <w:color w:val="12212E"/>
          <w:sz w:val="21"/>
        </w:rPr>
        <w:t>The five-minute demo is rehearsed enough to run without narration improvisation.</w:t>
      </w:r>
    </w:p>
    <w:p>
      <w:pPr>
        <w:pStyle w:val="Body"/>
        <w:spacing w:after="80"/>
      </w:pPr>
      <w:r>
        <w:rPr>
          <w:rFonts w:ascii="Aptos" w:hAnsi="Aptos" w:eastAsia="Aptos"/>
          <w:b/>
          <w:i w:val="0"/>
          <w:color w:val="0F766E"/>
          <w:sz w:val="21"/>
        </w:rPr>
        <w:t xml:space="preserve">[ ] </w:t>
      </w:r>
      <w:r>
        <w:rPr>
          <w:rFonts w:ascii="Aptos" w:hAnsi="Aptos" w:eastAsia="Aptos"/>
          <w:b w:val="0"/>
          <w:i w:val="0"/>
          <w:color w:val="12212E"/>
          <w:sz w:val="21"/>
        </w:rPr>
        <w:t>The team can answer: What does calibration measure? What leaves the device? What did users ask you to change? What happens when a site is complex?</w:t>
      </w:r>
    </w:p>
    <w:p>
      <w:pPr>
        <w:pStyle w:val="Body"/>
        <w:spacing w:after="80"/>
      </w:pPr>
      <w:r>
        <w:rPr>
          <w:rFonts w:ascii="Aptos" w:hAnsi="Aptos" w:eastAsia="Aptos"/>
          <w:b/>
          <w:i w:val="0"/>
          <w:color w:val="0F766E"/>
          <w:sz w:val="21"/>
        </w:rPr>
        <w:t xml:space="preserve">[ ] </w:t>
      </w:r>
      <w:r>
        <w:rPr>
          <w:rFonts w:ascii="Aptos" w:hAnsi="Aptos" w:eastAsia="Aptos"/>
          <w:b w:val="0"/>
          <w:i w:val="0"/>
          <w:color w:val="12212E"/>
          <w:sz w:val="21"/>
        </w:rPr>
        <w:t>Every headline in Devpost, the store listing, popup, results screen, and marketing site survives the claim-discipline table above.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2F8"/>
            <w:tcMar>
              <w:top w:w="150" w:type="dxa"/>
              <w:start w:w="200" w:type="dxa"/>
              <w:bottom w:w="150" w:type="dxa"/>
              <w:end w:w="2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164E63"/>
                <w:sz w:val="18"/>
              </w:rPr>
              <w:t xml:space="preserve">FINAL STANDARD  </w:t>
            </w:r>
            <w:r>
              <w:rPr>
                <w:rFonts w:ascii="Aptos" w:hAnsi="Aptos" w:eastAsia="Aptos"/>
                <w:b w:val="0"/>
                <w:i w:val="0"/>
                <w:color w:val="12212E"/>
                <w:sz w:val="20"/>
              </w:rPr>
              <w:t>The credible version of this story is stronger than a perfect-sounding one: ReadTune was built quickly, then tested respectfully with readers, improved from what they said, and delivered as a free, local-first tool with honest limits. That is the story a strong Accessibility &amp; Health judge can defend in the room.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2616B"/>
        <w:sz w:val="16"/>
      </w:rPr>
      <w:t xml:space="preserve">ReadTune award readiness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Aptos"/>
        <w:b/>
        <w:i w:val="0"/>
        <w:color w:val="0F766E"/>
        <w:sz w:val="17"/>
      </w:rPr>
      <w:t>READTUNE  /  GATEWAYHACKS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color w:val="1221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