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Business:</w:t>
      </w:r>
    </w:p>
    <w:p w:rsidR="00000000" w:rsidDel="00000000" w:rsidP="00000000" w:rsidRDefault="00000000" w:rsidRPr="00000000" w14:paraId="00000002">
      <w:pPr>
        <w:ind w:left="720" w:hanging="720"/>
        <w:rPr/>
      </w:pPr>
      <w:r w:rsidDel="00000000" w:rsidR="00000000" w:rsidRPr="00000000">
        <w:rPr>
          <w:rtl w:val="0"/>
        </w:rPr>
        <w:t xml:space="preserve">“In-Orbit Servicing Market Opportunity Exceeds $3 Billion.” GlobeNewswire News Room, GlobeNewswire, 30 Jan. 2018, globenewswire.com/news-release/2018/01/30/1314007/0/en/In-Orbit-Servicing-Market-Opportunity-Exceeds-3-Billion.html.</w:t>
      </w:r>
    </w:p>
    <w:p w:rsidR="00000000" w:rsidDel="00000000" w:rsidP="00000000" w:rsidRDefault="00000000" w:rsidRPr="00000000" w14:paraId="00000003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Power:</w:t>
      </w:r>
    </w:p>
    <w:p w:rsidR="00000000" w:rsidDel="00000000" w:rsidP="00000000" w:rsidRDefault="00000000" w:rsidRPr="00000000" w14:paraId="00000005">
      <w:pPr>
        <w:ind w:left="720" w:hanging="720"/>
        <w:rPr/>
      </w:pPr>
      <w:r w:rsidDel="00000000" w:rsidR="00000000" w:rsidRPr="00000000">
        <w:rPr>
          <w:rtl w:val="0"/>
        </w:rPr>
        <w:t xml:space="preserve">Komerath, Dessanti. “Brayton Cycle Conversion For Space Solar Power.” Georgia Institute of Technology, http://adl.gatech.edu/research/spg/papers/InCA_AIAAJPP.pdf</w:t>
      </w:r>
    </w:p>
    <w:p w:rsidR="00000000" w:rsidDel="00000000" w:rsidP="00000000" w:rsidRDefault="00000000" w:rsidRPr="00000000" w14:paraId="00000006">
      <w:pPr>
        <w:ind w:left="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720"/>
        <w:rPr/>
      </w:pPr>
      <w:r w:rsidDel="00000000" w:rsidR="00000000" w:rsidRPr="00000000">
        <w:rPr>
          <w:rtl w:val="0"/>
        </w:rPr>
        <w:t xml:space="preserve">Mason, Lee. “A Comparison of Brayton and Stirling Space Nuclear Power Systems for Power Levels from 1 Kilowatt to 10 Megawatts,” </w:t>
      </w:r>
      <w:r w:rsidDel="00000000" w:rsidR="00000000" w:rsidRPr="00000000">
        <w:rPr>
          <w:i w:val="1"/>
          <w:rtl w:val="0"/>
        </w:rPr>
        <w:t xml:space="preserve">NASA.gov, </w:t>
      </w:r>
      <w:r w:rsidDel="00000000" w:rsidR="00000000" w:rsidRPr="00000000">
        <w:rPr>
          <w:rtl w:val="0"/>
        </w:rPr>
        <w:t xml:space="preserve">https://ntrs.nasa.gov/search.jsp?R=20010016863 2018-04-04T03:14:24+00:00Z</w:t>
      </w:r>
    </w:p>
    <w:p w:rsidR="00000000" w:rsidDel="00000000" w:rsidP="00000000" w:rsidRDefault="00000000" w:rsidRPr="00000000" w14:paraId="00000008">
      <w:pP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rPr/>
      </w:pPr>
      <w:r w:rsidDel="00000000" w:rsidR="00000000" w:rsidRPr="00000000">
        <w:rPr>
          <w:rtl w:val="0"/>
        </w:rPr>
        <w:t xml:space="preserve">Mason, Shaltens, Dolce, Cataldo. “Status of Brayton Cycle Power Conversion Development at NASA GRC,” </w:t>
      </w:r>
      <w:r w:rsidDel="00000000" w:rsidR="00000000" w:rsidRPr="00000000">
        <w:rPr>
          <w:i w:val="1"/>
          <w:rtl w:val="0"/>
        </w:rPr>
        <w:t xml:space="preserve">NASA.gov, </w:t>
      </w:r>
      <w:r w:rsidDel="00000000" w:rsidR="00000000" w:rsidRPr="00000000">
        <w:rPr>
          <w:rtl w:val="0"/>
        </w:rPr>
        <w:t xml:space="preserve">https://ntrs.nasa.gov/search.jsp?R=20020038204 2018-04-04T03:13:55+00:00Z</w:t>
      </w:r>
    </w:p>
    <w:p w:rsidR="00000000" w:rsidDel="00000000" w:rsidP="00000000" w:rsidRDefault="00000000" w:rsidRPr="00000000" w14:paraId="0000000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/>
        <w:rPr/>
      </w:pPr>
      <w:r w:rsidDel="00000000" w:rsidR="00000000" w:rsidRPr="00000000">
        <w:rPr>
          <w:rtl w:val="0"/>
        </w:rPr>
        <w:t xml:space="preserve">“Multi-Mission Radioisotope Thermoelectric Generator (MMRTG),”</w:t>
      </w:r>
      <w:r w:rsidDel="00000000" w:rsidR="00000000" w:rsidRPr="00000000">
        <w:rPr>
          <w:i w:val="1"/>
          <w:rtl w:val="0"/>
        </w:rPr>
        <w:t xml:space="preserve"> NASA.gov,</w:t>
      </w:r>
      <w:r w:rsidDel="00000000" w:rsidR="00000000" w:rsidRPr="00000000">
        <w:rPr>
          <w:rtl w:val="0"/>
        </w:rPr>
        <w:t xml:space="preserve"> https://mars.nasa.gov/msl/files/mep/MMRTG_FactSheet_update_10-2-13.pdf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Structures: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Explorations, Space. “Falcon 9 Launch Vehicle, Payload Users Guide, Revision</w:t>
      </w:r>
    </w:p>
    <w:p w:rsidR="00000000" w:rsidDel="00000000" w:rsidP="00000000" w:rsidRDefault="00000000" w:rsidRPr="00000000" w14:paraId="0000000F">
      <w:pPr>
        <w:spacing w:line="331.2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”</w:t>
      </w:r>
      <w:r w:rsidDel="00000000" w:rsidR="00000000" w:rsidRPr="00000000">
        <w:rPr>
          <w:i w:val="1"/>
          <w:sz w:val="21"/>
          <w:szCs w:val="21"/>
          <w:rtl w:val="0"/>
        </w:rPr>
        <w:t xml:space="preserve">Www.spacex.com</w:t>
      </w:r>
      <w:r w:rsidDel="00000000" w:rsidR="00000000" w:rsidRPr="00000000">
        <w:rPr>
          <w:sz w:val="21"/>
          <w:szCs w:val="21"/>
          <w:rtl w:val="0"/>
        </w:rPr>
        <w:t xml:space="preserve">, 21 Oct. 2015,</w:t>
      </w:r>
      <w:hyperlink r:id="rId6">
        <w:r w:rsidDel="00000000" w:rsidR="00000000" w:rsidRPr="00000000">
          <w:rPr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http://www.spacex.com/sites/spacex/files/</w:t>
        </w:r>
      </w:hyperlink>
      <w:r w:rsidDel="00000000" w:rsidR="00000000" w:rsidRPr="00000000">
        <w:rPr>
          <w:sz w:val="21"/>
          <w:szCs w:val="21"/>
          <w:rtl w:val="0"/>
        </w:rPr>
        <w:t xml:space="preserve"> falcon_9_users_guide_rev_2.0.pdf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Timet. “Titanium - Comparison of Properties with Other Metals.” </w:t>
      </w:r>
      <w:r w:rsidDel="00000000" w:rsidR="00000000" w:rsidRPr="00000000">
        <w:rPr>
          <w:i w:val="1"/>
          <w:sz w:val="21"/>
          <w:szCs w:val="21"/>
          <w:rtl w:val="0"/>
        </w:rPr>
        <w:t xml:space="preserve">AZoM.com</w:t>
      </w:r>
      <w:r w:rsidDel="00000000" w:rsidR="00000000" w:rsidRPr="00000000">
        <w:rPr>
          <w:sz w:val="21"/>
          <w:szCs w:val="21"/>
          <w:rtl w:val="0"/>
        </w:rPr>
        <w:t xml:space="preserve">, 1 Aug. 2017,</w:t>
      </w:r>
    </w:p>
    <w:p w:rsidR="00000000" w:rsidDel="00000000" w:rsidP="00000000" w:rsidRDefault="00000000" w:rsidRPr="00000000" w14:paraId="00000012">
      <w:pPr>
        <w:spacing w:line="331.2" w:lineRule="auto"/>
        <w:ind w:left="720" w:firstLine="0"/>
        <w:rPr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www.azom.com/article.aspx?ArticleID=1298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Ray, David M, et al. “High Pressure Composite Overwrapped Pressure Vessel (COPV) Development Tests at Cryogenic Temperatures.”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NASA, 1 Jan. 2008, ntrs.nasa.gov/search.jsp?R=20080009730. 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Propulsion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  <w:t xml:space="preserve">Dachwald, “Low-Thrust Trajectory Optimization and Interplanetary Mission Analysis Using</w:t>
      </w:r>
    </w:p>
    <w:p w:rsidR="00000000" w:rsidDel="00000000" w:rsidP="00000000" w:rsidRDefault="00000000" w:rsidRPr="00000000" w14:paraId="00000017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Evolutionary Neurocontrol,” Deutscher Luft- und Raumfahrtkongress, 2004.</w:t>
      </w:r>
    </w:p>
    <w:p w:rsidR="00000000" w:rsidDel="00000000" w:rsidP="00000000" w:rsidRDefault="00000000" w:rsidRPr="00000000" w14:paraId="00000018">
      <w:pPr>
        <w:spacing w:line="331.2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“Dual-Stage Gridded Ion Thruster (DS4G),” </w:t>
      </w:r>
      <w:r w:rsidDel="00000000" w:rsidR="00000000" w:rsidRPr="00000000">
        <w:rPr>
          <w:i w:val="1"/>
          <w:rtl w:val="0"/>
        </w:rPr>
        <w:t xml:space="preserve">Advanced Concepts Team, ESA.int</w:t>
      </w:r>
      <w:r w:rsidDel="00000000" w:rsidR="00000000" w:rsidRPr="00000000">
        <w:rPr>
          <w:rtl w:val="0"/>
        </w:rPr>
        <w:t xml:space="preserve">, http://www.esa.int/gsp/ACT/pro/projects/ds4g_overview.html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>
          <w:i w:val="1"/>
        </w:rPr>
      </w:pPr>
      <w:r w:rsidDel="00000000" w:rsidR="00000000" w:rsidRPr="00000000">
        <w:rPr>
          <w:rtl w:val="0"/>
        </w:rPr>
        <w:t xml:space="preserve">Folta, Dichmann, Clark, Haapala, and Howell, “LunarCube Transfer Trajectory Options,” </w:t>
      </w:r>
      <w:r w:rsidDel="00000000" w:rsidR="00000000" w:rsidRPr="00000000">
        <w:rPr>
          <w:i w:val="1"/>
          <w:rtl w:val="0"/>
        </w:rPr>
        <w:t xml:space="preserve">4th</w:t>
      </w:r>
    </w:p>
    <w:p w:rsidR="00000000" w:rsidDel="00000000" w:rsidP="00000000" w:rsidRDefault="00000000" w:rsidRPr="00000000" w14:paraId="0000001C">
      <w:pPr>
        <w:spacing w:line="331.2" w:lineRule="auto"/>
        <w:ind w:firstLine="720"/>
        <w:rPr/>
      </w:pPr>
      <w:r w:rsidDel="00000000" w:rsidR="00000000" w:rsidRPr="00000000">
        <w:rPr>
          <w:i w:val="1"/>
          <w:rtl w:val="0"/>
        </w:rPr>
        <w:t xml:space="preserve">International Workshop on LunarCubes</w:t>
      </w:r>
      <w:r w:rsidDel="00000000" w:rsidR="00000000" w:rsidRPr="00000000">
        <w:rPr>
          <w:rtl w:val="0"/>
        </w:rPr>
        <w:t xml:space="preserve">, 2014.</w:t>
      </w:r>
    </w:p>
    <w:p w:rsidR="00000000" w:rsidDel="00000000" w:rsidP="00000000" w:rsidRDefault="00000000" w:rsidRPr="00000000" w14:paraId="0000001D">
      <w:pPr>
        <w:spacing w:line="331.2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ind w:left="720" w:hanging="720"/>
        <w:rPr/>
      </w:pPr>
      <w:r w:rsidDel="00000000" w:rsidR="00000000" w:rsidRPr="00000000">
        <w:rPr>
          <w:rtl w:val="0"/>
        </w:rPr>
        <w:t xml:space="preserve">Garcia, Roberto. “Asteroid Robotic Redirect Mission (ARRM) Solar Electric Propulsion (SEP) Other Trades Study (OTS),”  </w:t>
      </w:r>
      <w:r w:rsidDel="00000000" w:rsidR="00000000" w:rsidRPr="00000000">
        <w:rPr>
          <w:i w:val="1"/>
          <w:rtl w:val="0"/>
        </w:rPr>
        <w:t xml:space="preserve">NASA.gov</w:t>
      </w:r>
      <w:r w:rsidDel="00000000" w:rsidR="00000000" w:rsidRPr="00000000">
        <w:rPr>
          <w:rtl w:val="0"/>
        </w:rPr>
        <w:t xml:space="preserve">, https://www.nasa.gov/sites/default/files/files/Other-Trades-Study-Garcia-TAGGED.pdf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Hall, Scott James, “Characterization of a 100-kW Class Nested-Channel Hall Thruster,”</w:t>
      </w:r>
    </w:p>
    <w:p w:rsidR="00000000" w:rsidDel="00000000" w:rsidP="00000000" w:rsidRDefault="00000000" w:rsidRPr="00000000" w14:paraId="00000021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University of Michigan, PhD Dissertation, 2017.</w:t>
      </w:r>
    </w:p>
    <w:p w:rsidR="00000000" w:rsidDel="00000000" w:rsidP="00000000" w:rsidRDefault="00000000" w:rsidRPr="00000000" w14:paraId="00000022">
      <w:pPr>
        <w:spacing w:line="331.2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ind w:left="720" w:hanging="720"/>
        <w:rPr/>
      </w:pPr>
      <w:r w:rsidDel="00000000" w:rsidR="00000000" w:rsidRPr="00000000">
        <w:rPr>
          <w:rtl w:val="0"/>
        </w:rPr>
        <w:t xml:space="preserve">Herman, Albert, “Optima, Low-Thrust, Earth-Moon Transfer,” </w:t>
      </w:r>
      <w:r w:rsidDel="00000000" w:rsidR="00000000" w:rsidRPr="00000000">
        <w:rPr>
          <w:i w:val="1"/>
          <w:rtl w:val="0"/>
        </w:rPr>
        <w:t xml:space="preserve">Journal of Guidance, Control, And Dynamics</w:t>
      </w:r>
      <w:r w:rsidDel="00000000" w:rsidR="00000000" w:rsidRPr="00000000">
        <w:rPr>
          <w:rtl w:val="0"/>
        </w:rPr>
        <w:t xml:space="preserve">, Vol 21, No 1, January-February 1998.</w:t>
      </w:r>
    </w:p>
    <w:p w:rsidR="00000000" w:rsidDel="00000000" w:rsidP="00000000" w:rsidRDefault="00000000" w:rsidRPr="00000000" w14:paraId="00000024">
      <w:pPr>
        <w:spacing w:line="331.2" w:lineRule="auto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ind w:left="720" w:hanging="720"/>
        <w:rPr/>
      </w:pPr>
      <w:r w:rsidDel="00000000" w:rsidR="00000000" w:rsidRPr="00000000">
        <w:rPr>
          <w:rtl w:val="0"/>
        </w:rPr>
        <w:t xml:space="preserve">Stansbury, Sarah, “Low Thrust Transfer to GEO: Comparison of Electric and Chemical</w:t>
      </w:r>
    </w:p>
    <w:p w:rsidR="00000000" w:rsidDel="00000000" w:rsidP="00000000" w:rsidRDefault="00000000" w:rsidRPr="00000000" w14:paraId="00000026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Propulsion,” CCAR, University of Colorado Boulder, 2009. http://ccar.colorado.edu/asen5050/projects/projects_2009/stansbury/</w:t>
      </w:r>
    </w:p>
    <w:p w:rsidR="00000000" w:rsidDel="00000000" w:rsidP="00000000" w:rsidRDefault="00000000" w:rsidRPr="00000000" w14:paraId="0000002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Propellant feed: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ind w:left="100" w:firstLine="1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Barbaritis, Joseph K, and Paul T King. “XENON FEED SYSTEM PROGRESS.”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AIAA, 9 July 2006, www.dtic.mil/dtic/tr/fulltext/u2/a456850.pdf.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ind w:firstLine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Bushway, Edward M, et al. “A Xenon Flowrate Controller for Hall Current Thruster Applications.”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SpaceGrant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IEPC, 2001, erps.spacegrant.org/uploads/images/images/iepc_articledownload_1988-2007/2001index/2002iepc/papers/t14/315_1.pdf.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ind w:firstLine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Bushway, Edward D, et al. “NSTAR Ion Engine Xenon Feed System: Introduction to System Design and Development 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SpaceGrant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erps.spacegrant.org/uploads/images/images/iepc_articledownload_1988-2007/1997index/7044.pdf.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ind w:firstLine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Goebel, Dan M, and Ira Katz.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Fundamentals of Electric Propulsion: Ion and Hall Thrusters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Wiley, 2008.</w:t>
      </w:r>
      <w:r w:rsidDel="00000000" w:rsidR="00000000" w:rsidRPr="00000000">
        <w:fldChar w:fldCharType="begin"/>
        <w:instrText xml:space="preserve"> HYPERLINK "https://descanso.jpl.nasa.gov/SciTechBook/series1/Goebel__cmprsd_opt.pdf"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https://descanso.jpl.nasa.gov/SciTechBook/series1/Goebel__cmprsd_opt.pdf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ind w:firstLine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Kim, Younho, et al. “Development of Xenon Feed System for a 300-W Hall-Thruster 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SpaceGarnt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IEPC, 20 Sept. 2009, erps.spacegrant.org/uploads/images/images/iepc_articledownload_1988-2007/2009index/IEPC-2009-061.pdf.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ind w:firstLine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Patterson, Michael J, and Scott W Benson. “NEXT Ion Propulsion System Development Status and Performance 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AIAA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AIAA, 8 July 2007, www.grc.nasa.gov/WWW/ion/pdfdocs/AIAA-2007-5199.pdf.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" w:lineRule="auto"/>
        <w:ind w:firstLine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Pehrson, David M. “Continuing Development of the Proportional Flow Control Valve (PFCV) for Electric Propulsion Systems 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NASA, 17 Sept. 2007, www.erps.spacegrant.org/uploads/images/images/iepc_articledownload_1988-2007/2007index/IEPC-2007-346.pdf.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Ray, David M, et al. “High Pressure Composite Overwrapped Pressure Vessel (COPV) Development Tests at Cryogenic Temperatures.”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NASA, 1 Jan. 2008, ntrs.nasa.gov/search.jsp?R=20080009730.  </w:t>
      </w:r>
    </w:p>
    <w:p w:rsidR="00000000" w:rsidDel="00000000" w:rsidP="00000000" w:rsidRDefault="00000000" w:rsidRPr="00000000" w14:paraId="0000003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spacing w:line="331.2" w:lineRule="auto"/>
        <w:ind w:firstLine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Starling, Dan A. “Propellant Feed Control for Ion Engines.”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Naval Postgraduate School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1996.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Theskin, J.C., et al. “Composite Overwrap Pressure Vessels: Mechanics and Stress Rupture Lifing Philosophy.”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NASA, 23 Apr. 2007, ntrs.nasa.gov/search.jsp?R=20070022369.             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Electronics:</w:t>
      </w:r>
    </w:p>
    <w:p w:rsidR="00000000" w:rsidDel="00000000" w:rsidP="00000000" w:rsidRDefault="00000000" w:rsidRPr="00000000" w14:paraId="0000003E">
      <w:pPr>
        <w:spacing w:after="300" w:before="100" w:line="24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Architectures of Onboard Data Systems. (n.d.). Retrieved from http://www.esa.int/Our_Activities/Space_Engineering_Technology/Onboard_Computer_and_Data_Handling/Architectures_of_Onboard_Data_Systems</w:t>
      </w:r>
    </w:p>
    <w:p w:rsidR="00000000" w:rsidDel="00000000" w:rsidP="00000000" w:rsidRDefault="00000000" w:rsidRPr="00000000" w14:paraId="0000003F">
      <w:pPr>
        <w:spacing w:after="300" w:before="100" w:line="24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Bechtel, R. (2013). Multi-Mission Radioisotope Thermoelectric Generator (MMRTG).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NASA Facts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Retrieved April 11, 2018, from https://mars.nasa.gov/msl/files/mep/MMRTG_FactSheet_update_10-2-13.pdf.</w:t>
      </w:r>
    </w:p>
    <w:p w:rsidR="00000000" w:rsidDel="00000000" w:rsidP="00000000" w:rsidRDefault="00000000" w:rsidRPr="00000000" w14:paraId="00000040">
      <w:pPr>
        <w:spacing w:after="300" w:before="100" w:line="24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High Data Rate S-Band Transmitter. (n.d.). Retrieved from https://www.isispace.nl/product/isis-txs-s-band-transmitter/</w:t>
      </w:r>
    </w:p>
    <w:p w:rsidR="00000000" w:rsidDel="00000000" w:rsidP="00000000" w:rsidRDefault="00000000" w:rsidRPr="00000000" w14:paraId="00000041">
      <w:pPr>
        <w:spacing w:after="300" w:before="100" w:line="24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Huber, F. (n.d.). FPGA based On-Board Computer System for the “Flying Laptop” Micro-Satellite. Retrieved from https://pdfs.semanticscholar.org/17e4/d734e6a914b50ddbd788dbeca01b907ad7c9.pdf</w:t>
      </w:r>
    </w:p>
    <w:p w:rsidR="00000000" w:rsidDel="00000000" w:rsidP="00000000" w:rsidRDefault="00000000" w:rsidRPr="00000000" w14:paraId="00000042">
      <w:pPr>
        <w:spacing w:after="300" w:before="100" w:line="24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Komerath, N. (n.d.). Brayton Cycle Conversion For Space Solar Power.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American Institute of Aeronautics and Astronautics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Retrieved April 11, 2018.</w:t>
      </w:r>
    </w:p>
    <w:p w:rsidR="00000000" w:rsidDel="00000000" w:rsidP="00000000" w:rsidRDefault="00000000" w:rsidRPr="00000000" w14:paraId="00000043">
      <w:pPr>
        <w:spacing w:after="300" w:before="100" w:line="24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Mason, L. S., Shaltens, R. K., Dolce, J. L., &amp; Cataldo, R. L. (2002). Status of Brayton Cycle Power Conversion Development at NASA GRC.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NASA Technical Reports Server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Retrieved April 11, 2018, from https://ntrs.nasa.gov/search.jsp?R=20020038204.</w:t>
      </w:r>
    </w:p>
    <w:p w:rsidR="00000000" w:rsidDel="00000000" w:rsidP="00000000" w:rsidRDefault="00000000" w:rsidRPr="00000000" w14:paraId="00000044">
      <w:pPr>
        <w:spacing w:after="300" w:before="100" w:line="24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Mason, L. S. (2001). A Comparison of Brayton and Stirling Space Nuclear Power Systems for Power Levels from 1 Kilowatt to 10 Megawatts.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NASA, Glenn Research Center, Cleveland, Ohio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 Retrieved April 11, 2018, from https://ntrs.nasa.gov/search.jsp?R=20010016863.</w:t>
      </w:r>
    </w:p>
    <w:p w:rsidR="00000000" w:rsidDel="00000000" w:rsidP="00000000" w:rsidRDefault="00000000" w:rsidRPr="00000000" w14:paraId="00000045">
      <w:pPr>
        <w:spacing w:after="300" w:before="100" w:line="24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On board computer. (n.d.). Retrieved from https://www.cubesatshop.com/product/on-board-computer/</w:t>
      </w:r>
    </w:p>
    <w:p w:rsidR="00000000" w:rsidDel="00000000" w:rsidP="00000000" w:rsidRDefault="00000000" w:rsidRPr="00000000" w14:paraId="00000046">
      <w:pPr>
        <w:spacing w:after="300" w:before="100" w:line="24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Rao, V., &amp; Pal, S. (2009, April). High Bit Rate Data Transmitting System for Remote Sensing Satellites. Retrieved April 11, 2018, from https://pdfs.semanticscholar.org/c31f/890c507bd8c17abf6c3954cc600c67ebd856.pdf</w:t>
      </w:r>
    </w:p>
    <w:p w:rsidR="00000000" w:rsidDel="00000000" w:rsidP="00000000" w:rsidRDefault="00000000" w:rsidRPr="00000000" w14:paraId="00000047">
      <w:pPr>
        <w:spacing w:after="300" w:before="100" w:line="24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Indian Space Research Organisation</w:t>
      </w:r>
    </w:p>
    <w:p w:rsidR="00000000" w:rsidDel="00000000" w:rsidP="00000000" w:rsidRDefault="00000000" w:rsidRPr="00000000" w14:paraId="00000048">
      <w:pPr>
        <w:spacing w:after="300" w:before="100" w:line="24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 Band Filters. (n.d.). Retrieved from https://www.southwestantennas.com/products/filter-modules-diplexers-triplexers/s-band-filters</w:t>
      </w:r>
    </w:p>
    <w:p w:rsidR="00000000" w:rsidDel="00000000" w:rsidP="00000000" w:rsidRDefault="00000000" w:rsidRPr="00000000" w14:paraId="00000049">
      <w:pPr>
        <w:spacing w:after="300" w:before="100" w:line="240" w:lineRule="auto"/>
        <w:ind w:left="620" w:hanging="3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Safe affordable fission engine. (2018, April 10). Retrieved from https://en.wikipedia.org/wiki/Safe_affordable_fission_engine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pacex.com/sites/spacex/files/" TargetMode="External"/><Relationship Id="rId7" Type="http://schemas.openxmlformats.org/officeDocument/2006/relationships/hyperlink" Target="http://www.spacex.com/sites/spacex/files/" TargetMode="External"/><Relationship Id="rId8" Type="http://schemas.openxmlformats.org/officeDocument/2006/relationships/hyperlink" Target="http://www.azom.com/article.aspx?ArticleID=1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