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Ethical and Legal Declarations</w:t>
      </w:r>
    </w:p>
    <w:p>
      <w:pPr>
        <w:spacing w:after="298"/>
      </w:pPr>
      <w:r>
        <w:rPr>
          <w:rFonts w:ascii="Times" w:hAnsi="Times" w:cs="Times"/>
          <w:sz w:val="36"/>
          <w:sz-cs w:val="36"/>
          <w:b/>
          <w:spacing w:val="0"/>
        </w:rPr>
        <w:t xml:space="preserve">Manuscript</w:t>
      </w:r>
    </w:p>
    <w:p>
      <w:pPr>
        <w:spacing w:after="240"/>
      </w:pPr>
      <w:r>
        <w:rPr>
          <w:rFonts w:ascii="Times" w:hAnsi="Times" w:cs="Times"/>
          <w:sz w:val="24"/>
          <w:sz-cs w:val="24"/>
          <w:b/>
          <w:spacing w:val="0"/>
        </w:rPr>
        <w:t xml:space="preserve">Title:</w:t>
      </w:r>
      <w:r>
        <w:rPr>
          <w:rFonts w:ascii="Times" w:hAnsi="Times" w:cs="Times"/>
          <w:sz w:val="24"/>
          <w:sz-cs w:val="24"/>
          <w:spacing w:val="0"/>
        </w:rPr>
        <w:t xml:space="preserve"> Understanding When Poisson Log-Normal Models Outperform Penalized Poisson Regression for Microbiome Count Data</w:t>
      </w:r>
    </w:p>
    <w:p>
      <w:pPr>
        <w:spacing w:after="240"/>
      </w:pPr>
      <w:r>
        <w:rPr>
          <w:rFonts w:ascii="Times" w:hAnsi="Times" w:cs="Times"/>
          <w:sz w:val="24"/>
          <w:sz-cs w:val="24"/>
          <w:b/>
          <w:spacing w:val="0"/>
        </w:rPr>
        <w:t xml:space="preserve">Authors:</w:t>
      </w:r>
      <w:r>
        <w:rPr>
          <w:rFonts w:ascii="Times" w:hAnsi="Times" w:cs="Times"/>
          <w:sz w:val="24"/>
          <w:sz-cs w:val="24"/>
          <w:spacing w:val="0"/>
        </w:rPr>
        <w:t xml:space="preserve"> Daniel Agyapong, Julien Chiquet, Jane Marks, Toby Dylan Hocking</w:t>
      </w:r>
    </w:p>
    <w:p>
      <w:pPr>
        <w:spacing w:after="298"/>
      </w:pPr>
      <w:r>
        <w:rPr>
          <w:rFonts w:ascii="Times" w:hAnsi="Times" w:cs="Times"/>
          <w:sz w:val="36"/>
          <w:sz-cs w:val="36"/>
          <w:b/>
          <w:spacing w:val="0"/>
        </w:rPr>
        <w:t xml:space="preserve">Research Funding</w:t>
      </w:r>
    </w:p>
    <w:p>
      <w:pPr>
        <w:spacing w:after="240"/>
      </w:pPr>
      <w:r>
        <w:rPr>
          <w:rFonts w:ascii="Times" w:hAnsi="Times" w:cs="Times"/>
          <w:sz w:val="24"/>
          <w:sz-cs w:val="24"/>
          <w:spacing w:val="0"/>
        </w:rPr>
        <w:t xml:space="preserve">This work was supported by the National Science Foundation grant #2125088 (Rules of Life Program). The funding organization played no role in the study design; in the collection, analysis, and interpretation of data; in the writing of the report; or in the decision to submit the report for publication.</w:t>
      </w:r>
    </w:p>
    <w:p>
      <w:pPr>
        <w:spacing w:after="298"/>
      </w:pPr>
      <w:r>
        <w:rPr>
          <w:rFonts w:ascii="Times" w:hAnsi="Times" w:cs="Times"/>
          <w:sz w:val="36"/>
          <w:sz-cs w:val="36"/>
          <w:b/>
          <w:spacing w:val="0"/>
        </w:rPr>
        <w:t xml:space="preserve">Author Contributions</w:t>
      </w:r>
    </w:p>
    <w:p>
      <w:pPr>
        <w:spacing w:after="240"/>
      </w:pPr>
      <w:r>
        <w:rPr>
          <w:rFonts w:ascii="Times" w:hAnsi="Times" w:cs="Times"/>
          <w:sz w:val="24"/>
          <w:sz-cs w:val="24"/>
          <w:spacing w:val="0"/>
        </w:rPr>
        <w:t xml:space="preserve">DA conceived the study, implemented the benchmark pipeline, performed the analyses, and drafted the manuscript. JC advised on methodology, algorithm design, and manuscript revisions. TDH advised on methodology, algorithm design, and manuscript revisions. JM contributed to writing, review, and editing of the manuscript. All authors read and approved the final manuscript.</w:t>
      </w:r>
    </w:p>
    <w:p>
      <w:pPr>
        <w:spacing w:after="298"/>
      </w:pPr>
      <w:r>
        <w:rPr>
          <w:rFonts w:ascii="Times" w:hAnsi="Times" w:cs="Times"/>
          <w:sz w:val="36"/>
          <w:sz-cs w:val="36"/>
          <w:b/>
          <w:spacing w:val="0"/>
        </w:rPr>
        <w:t xml:space="preserve">Competing Interests</w:t>
      </w:r>
    </w:p>
    <w:p>
      <w:pPr>
        <w:spacing w:after="240"/>
      </w:pPr>
      <w:r>
        <w:rPr>
          <w:rFonts w:ascii="Times" w:hAnsi="Times" w:cs="Times"/>
          <w:sz w:val="24"/>
          <w:sz-cs w:val="24"/>
          <w:spacing w:val="0"/>
        </w:rPr>
        <w:t xml:space="preserve">The authors declare that they have no known competing financial interests or personal relationships that could have appeared to influence the work reported in this paper.</w:t>
      </w:r>
    </w:p>
    <w:p>
      <w:pPr>
        <w:spacing w:after="298"/>
      </w:pPr>
      <w:r>
        <w:rPr>
          <w:rFonts w:ascii="Times" w:hAnsi="Times" w:cs="Times"/>
          <w:sz w:val="36"/>
          <w:sz-cs w:val="36"/>
          <w:b/>
          <w:spacing w:val="0"/>
        </w:rPr>
        <w:t xml:space="preserve">Ethical Approval</w:t>
      </w:r>
    </w:p>
    <w:p>
      <w:pPr>
        <w:spacing w:after="240"/>
      </w:pPr>
      <w:r>
        <w:rPr>
          <w:rFonts w:ascii="Times" w:hAnsi="Times" w:cs="Times"/>
          <w:sz w:val="24"/>
          <w:sz-cs w:val="24"/>
          <w:spacing w:val="0"/>
        </w:rPr>
        <w:t xml:space="preserve">Not applicable. This study used publicly available datasets and did not involve new experiments with human participants or animals.</w:t>
      </w:r>
    </w:p>
    <w:p>
      <w:pPr>
        <w:spacing w:after="298"/>
      </w:pPr>
      <w:r>
        <w:rPr>
          <w:rFonts w:ascii="Times" w:hAnsi="Times" w:cs="Times"/>
          <w:sz w:val="36"/>
          <w:sz-cs w:val="36"/>
          <w:b/>
          <w:spacing w:val="0"/>
        </w:rPr>
        <w:t xml:space="preserve">Informed Consent</w:t>
      </w:r>
    </w:p>
    <w:p>
      <w:pPr>
        <w:spacing w:after="240"/>
      </w:pPr>
      <w:r>
        <w:rPr>
          <w:rFonts w:ascii="Times" w:hAnsi="Times" w:cs="Times"/>
          <w:sz w:val="24"/>
          <w:sz-cs w:val="24"/>
          <w:spacing w:val="0"/>
        </w:rPr>
        <w:t xml:space="preserve">Not applicable. This study used publicly available datasets and did not involve identifiable human participant data collected by the authors.</w:t>
      </w:r>
    </w:p>
    <w:p>
      <w:pPr>
        <w:spacing w:after="298"/>
      </w:pPr>
      <w:r>
        <w:rPr>
          <w:rFonts w:ascii="Times" w:hAnsi="Times" w:cs="Times"/>
          <w:sz w:val="36"/>
          <w:sz-cs w:val="36"/>
          <w:b/>
          <w:spacing w:val="0"/>
        </w:rPr>
        <w:t xml:space="preserve">Data Availability</w:t>
      </w:r>
    </w:p>
    <w:p>
      <w:pPr>
        <w:spacing w:after="240"/>
      </w:pPr>
      <w:r>
        <w:rPr>
          <w:rFonts w:ascii="Times" w:hAnsi="Times" w:cs="Times"/>
          <w:sz w:val="24"/>
          <w:sz-cs w:val="24"/>
          <w:spacing w:val="0"/>
        </w:rPr>
        <w:t xml:space="preserve">The datasets analysed in this study are publicly available; accession details and references are provided in Table S2. The benchmark code is available at https://github.com/EngineerDanny/pln_eval.</w:t>
      </w:r>
    </w:p>
    <w:p>
      <w:pPr>
        <w:spacing w:after="298"/>
      </w:pPr>
      <w:r>
        <w:rPr>
          <w:rFonts w:ascii="Times" w:hAnsi="Times" w:cs="Times"/>
          <w:sz w:val="36"/>
          <w:sz-cs w:val="36"/>
          <w:b/>
          <w:spacing w:val="0"/>
        </w:rPr>
        <w:t xml:space="preserve">Acknowledgments</w:t>
      </w:r>
    </w:p>
    <w:p>
      <w:pPr>
        <w:spacing w:after="240"/>
      </w:pPr>
      <w:r>
        <w:rPr>
          <w:rFonts w:ascii="Times" w:hAnsi="Times" w:cs="Times"/>
          <w:sz w:val="24"/>
          <w:sz-cs w:val="24"/>
          <w:spacing w:val="0"/>
        </w:rPr>
        <w:t xml:space="preserve">Computational work was performed on Northern Arizona University's Monsoon high-performance computing cluster.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