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 xml:space="preserve">Cooling-priority Score Evaluation and Ablation Tests</w:t>
      </w:r>
    </w:p>
    <w:p>
      <w:pPr>
        <w:pStyle w:val="Subtitle"/>
      </w:pPr>
      <w:r>
        <w:t xml:space="preserve">Heat exposure, resident sensitivity and missing greenery, combined with data-derived weights | 5 October 2026</w:t>
      </w:r>
    </w:p>
    <w:p>
      <w:pPr>
        <w:pStyle w:val="Heading1"/>
      </w:pPr>
      <w:r>
        <w:t xml:space="preserve">Summary</w:t>
      </w:r>
    </w:p>
    <w:p>
      <w:r>
        <w:t xml:space="preserve">The cooling-priority score ranks subzones by combining three pillars: heat exposure (Landsat surface temperature), resident sensitivity (population density and the share of elderly residents) and missing greenery (one minus the vegetation share from the land-cover map). The planning output is the list of the 20 highest-priority subzones.</w:t>
      </w:r>
    </w:p>
    <w:p>
      <w:r>
        <w:t xml:space="preserve">There is no record of where cooling was most needed, so the score is judged on its structure, its robustness and whether its design choices matter. One index summarises the three pillars reasonably (the first principal component carries 67% of their variation). Measurement noise alone replaces about 11 of the top 20 in an average draw, and no top-20 subzone is certain. Against that noise floor, only removing the heat or the sensitivity pillar changes the top 20 by more than noise (12 subzones each). Every method choice tested, including weighting, the sensitivity formula, the heat layer and the land-cover source, moves fewer subzones than noise does. The top 20 should therefore be read as a well-supported shortlist, not a precise order.</w:t>
      </w:r>
    </w:p>
    <w:p>
      <w:pPr>
        <w:pStyle w:val="Heading1"/>
      </w:pPr>
      <w:r>
        <w:t xml:space="preserve">1. Setup</w:t>
      </w:r>
    </w:p>
    <w:tbl>
      <w:tblPr>
        <w:tblW w:w="990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80" w:type="dxa"/>
          <w:right w:w="80" w:type="dxa"/>
        </w:tblCellMar>
        <w:tblLook w:val="04A0" w:firstRow="1" w:lastRow="0" w:firstColumn="1" w:lastColumn="0" w:noHBand="0" w:noVBand="1"/>
      </w:tblPr>
      <w:tblGrid>
        <w:gridCol w:w="2400"/>
        <w:gridCol w:w="7500"/>
      </w:tblGrid>
      <w:tr>
        <w:trPr>
          <w:tblHeader/>
        </w:trPr>
        <w:tc>
          <w:tcPr>
            <w:tcW w:w="2400" w:type="dxa"/>
            <w:shd w:val="clear" w:color="auto" w:fill="E2E8F0"/>
          </w:tcPr>
          <w:p>
            <w:r>
              <w:t xml:space="preserve">Item</w:t>
            </w:r>
          </w:p>
        </w:tc>
        <w:tc>
          <w:tcPr>
            <w:tcW w:w="7500" w:type="dxa"/>
            <w:shd w:val="clear" w:color="auto" w:fill="E2E8F0"/>
          </w:tcPr>
          <w:p>
            <w:r>
              <w:t xml:space="preserve">Setting</w:t>
            </w:r>
          </w:p>
        </w:tc>
      </w:tr>
      <w:tr>
        <w:trPr>
          <w:cantSplit/>
        </w:trPr>
        <w:tc>
          <w:tcPr>
            <w:tcW w:w="2400" w:type="dxa"/>
          </w:tcPr>
          <w:p>
            <w:r>
              <w:t xml:space="preserve">Pillars</w:t>
            </w:r>
          </w:p>
        </w:tc>
        <w:tc>
          <w:tcPr>
            <w:tcW w:w="7500" w:type="dxa"/>
          </w:tcPr>
          <w:p>
            <w:r>
              <w:t xml:space="preserve">Heat exposure: Landsat 30 m surface temperature, subzone mean. Resident sensitivity: 0.5 × population density + 0.5 × elderly share (the 50/50 split is a placeholder). Missing greenery: 1 − vegetation share from the production land-cover map.</w:t>
            </w:r>
          </w:p>
        </w:tc>
      </w:tr>
      <w:tr>
        <w:trPr>
          <w:cantSplit/>
        </w:trPr>
        <w:tc>
          <w:tcPr>
            <w:tcW w:w="2400" w:type="dxa"/>
          </w:tcPr>
          <w:p>
            <w:r>
              <w:t xml:space="preserve">Scaling and weights</w:t>
            </w:r>
          </w:p>
        </w:tc>
        <w:tc>
          <w:tcPr>
            <w:tcW w:w="7500" w:type="dxa"/>
          </w:tcPr>
          <w:p>
            <w:r>
              <w:t xml:space="preserve">Each pillar is min-max scaled to 0–1. Weights come from the first principal component of the standardised pillars: 0.335 / 0.290 / 0.375 (exposure / sensitivity / missing greenery).</w:t>
            </w:r>
          </w:p>
        </w:tc>
      </w:tr>
      <w:tr>
        <w:trPr>
          <w:cantSplit/>
        </w:trPr>
        <w:tc>
          <w:tcPr>
            <w:tcW w:w="2400" w:type="dxa"/>
          </w:tcPr>
          <w:p>
            <w:r>
              <w:t xml:space="preserve">Residents view (production)</w:t>
            </w:r>
          </w:p>
        </w:tc>
        <w:tc>
          <w:tcPr>
            <w:tcW w:w="7500" w:type="dxa"/>
          </w:tcPr>
          <w:p>
            <w:r>
              <w:t xml:space="preserve">211 subzones with at least 500 residents.</w:t>
            </w:r>
          </w:p>
        </w:tc>
      </w:tr>
      <w:tr>
        <w:trPr>
          <w:cantSplit/>
        </w:trPr>
        <w:tc>
          <w:tcPr>
            <w:tcW w:w="2400" w:type="dxa"/>
          </w:tcPr>
          <w:p>
            <w:r>
              <w:t xml:space="preserve">All-places view</w:t>
            </w:r>
          </w:p>
        </w:tc>
        <w:tc>
          <w:tcPr>
            <w:tcW w:w="7500" w:type="dxa"/>
          </w:tcPr>
          <w:p>
            <w:r>
              <w:t xml:space="preserve">All 332 subzones, heat and missing greenery only, equal weights. It includes industrial and port areas but says nothing about how many people are exposed.</w:t>
            </w:r>
          </w:p>
        </w:tc>
      </w:tr>
      <w:tr>
        <w:trPr>
          <w:cantSplit/>
        </w:trPr>
        <w:tc>
          <w:tcPr>
            <w:tcW w:w="2400" w:type="dxa"/>
          </w:tcPr>
          <w:p>
            <w:r>
              <w:t xml:space="preserve">Uncertainty</w:t>
            </w:r>
          </w:p>
        </w:tc>
        <w:tc>
          <w:tcPr>
            <w:tcW w:w="7500" w:type="dxa"/>
          </w:tcPr>
          <w:p>
            <w:r>
              <w:t xml:space="preserve">1,000 bootstrap draws perturbing heat and greenery by measured error sizes: heat by the spread of Landsat minus MODIS after removing the offset, greenery by the disagreement between the land-cover and NDVI greenery estimates.</w:t>
            </w:r>
          </w:p>
        </w:tc>
      </w:tr>
    </w:tbl>
    <w:p/>
    <w:p>
      <w:pPr>
        <w:pStyle w:val="Heading1"/>
      </w:pPr>
      <w:r>
        <w:t xml:space="preserve">2. Evaluation</w:t>
      </w:r>
    </w:p>
    <w:p>
      <w:pPr>
        <w:pStyle w:val="Heading2"/>
      </w:pPr>
      <w:r>
        <w:t xml:space="preserve">2.1 Does one index summarise the pillars?</w:t>
      </w:r>
    </w:p>
    <w:tbl>
      <w:tblPr>
        <w:tblW w:w="990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80" w:type="dxa"/>
          <w:right w:w="80" w:type="dxa"/>
        </w:tblCellMar>
        <w:tblLook w:val="04A0" w:firstRow="1" w:lastRow="0" w:firstColumn="1" w:lastColumn="0" w:noHBand="0" w:noVBand="1"/>
      </w:tblPr>
      <w:tblGrid>
        <w:gridCol w:w="2200"/>
        <w:gridCol w:w="1300"/>
        <w:gridCol w:w="1600"/>
        <w:gridCol w:w="1500"/>
        <w:gridCol w:w="1700"/>
        <w:gridCol w:w="1600"/>
      </w:tblGrid>
      <w:tr>
        <w:trPr>
          <w:tblHeader/>
        </w:trPr>
        <w:tc>
          <w:tcPr>
            <w:tcW w:w="2200" w:type="dxa"/>
            <w:shd w:val="clear" w:color="auto" w:fill="E2E8F0"/>
          </w:tcPr>
          <w:p>
            <w:r>
              <w:t xml:space="preserve">Pillar</w:t>
            </w:r>
          </w:p>
        </w:tc>
        <w:tc>
          <w:tcPr>
            <w:tcW w:w="1300" w:type="dxa"/>
            <w:shd w:val="clear" w:color="auto" w:fill="E2E8F0"/>
          </w:tcPr>
          <w:p>
            <w:r>
              <w:t xml:space="preserve">PCA weight</w:t>
            </w:r>
          </w:p>
        </w:tc>
        <w:tc>
          <w:tcPr>
            <w:tcW w:w="1600" w:type="dxa"/>
            <w:shd w:val="clear" w:color="auto" w:fill="E2E8F0"/>
          </w:tcPr>
          <w:p>
            <w:r>
              <w:t xml:space="preserve">Correlation with heat</w:t>
            </w:r>
          </w:p>
        </w:tc>
        <w:tc>
          <w:tcPr>
            <w:tcW w:w="1500" w:type="dxa"/>
            <w:shd w:val="clear" w:color="auto" w:fill="E2E8F0"/>
          </w:tcPr>
          <w:p>
            <w:r>
              <w:t xml:space="preserve">with sensitivity</w:t>
            </w:r>
          </w:p>
        </w:tc>
        <w:tc>
          <w:tcPr>
            <w:tcW w:w="1700" w:type="dxa"/>
            <w:shd w:val="clear" w:color="auto" w:fill="E2E8F0"/>
          </w:tcPr>
          <w:p>
            <w:r>
              <w:t xml:space="preserve">with missing greenery</w:t>
            </w:r>
          </w:p>
        </w:tc>
        <w:tc>
          <w:tcPr>
            <w:tcW w:w="1600" w:type="dxa"/>
            <w:shd w:val="clear" w:color="auto" w:fill="E2E8F0"/>
          </w:tcPr>
          <w:p>
            <w:r>
              <w:t xml:space="preserve">Correlation with final score</w:t>
            </w:r>
          </w:p>
        </w:tc>
      </w:tr>
      <w:tr>
        <w:trPr>
          <w:cantSplit/>
        </w:trPr>
        <w:tc>
          <w:tcPr>
            <w:tcW w:w="2200" w:type="dxa"/>
          </w:tcPr>
          <w:p>
            <w:r>
              <w:t xml:space="preserve">Heat exposure</w:t>
            </w:r>
          </w:p>
        </w:tc>
        <w:tc>
          <w:tcPr>
            <w:tcW w:w="1300" w:type="dxa"/>
          </w:tcPr>
          <w:p>
            <w:r>
              <w:t xml:space="preserve">0.335</w:t>
            </w:r>
          </w:p>
        </w:tc>
        <w:tc>
          <w:tcPr>
            <w:tcW w:w="1600" w:type="dxa"/>
          </w:tcPr>
          <w:p>
            <w:r>
              <w:t xml:space="preserve">1.00</w:t>
            </w:r>
          </w:p>
        </w:tc>
        <w:tc>
          <w:tcPr>
            <w:tcW w:w="1500" w:type="dxa"/>
          </w:tcPr>
          <w:p>
            <w:r>
              <w:t xml:space="preserve">0.29</w:t>
            </w:r>
          </w:p>
        </w:tc>
        <w:tc>
          <w:tcPr>
            <w:tcW w:w="1700" w:type="dxa"/>
          </w:tcPr>
          <w:p>
            <w:r>
              <w:t xml:space="preserve">0.67</w:t>
            </w:r>
          </w:p>
        </w:tc>
        <w:tc>
          <w:tcPr>
            <w:tcW w:w="1600" w:type="dxa"/>
          </w:tcPr>
          <w:p>
            <w:r>
              <w:t xml:space="preserve">0.79</w:t>
            </w:r>
          </w:p>
        </w:tc>
      </w:tr>
      <w:tr>
        <w:trPr>
          <w:cantSplit/>
        </w:trPr>
        <w:tc>
          <w:tcPr>
            <w:tcW w:w="2200" w:type="dxa"/>
          </w:tcPr>
          <w:p>
            <w:r>
              <w:t xml:space="preserve">Resident sensitivity</w:t>
            </w:r>
          </w:p>
        </w:tc>
        <w:tc>
          <w:tcPr>
            <w:tcW w:w="1300" w:type="dxa"/>
          </w:tcPr>
          <w:p>
            <w:r>
              <w:t xml:space="preserve">0.290</w:t>
            </w:r>
          </w:p>
        </w:tc>
        <w:tc>
          <w:tcPr>
            <w:tcW w:w="1600" w:type="dxa"/>
          </w:tcPr>
          <w:p>
            <w:r>
              <w:t xml:space="preserve">0.29</w:t>
            </w:r>
          </w:p>
        </w:tc>
        <w:tc>
          <w:tcPr>
            <w:tcW w:w="1500" w:type="dxa"/>
          </w:tcPr>
          <w:p>
            <w:r>
              <w:t xml:space="preserve">1.00</w:t>
            </w:r>
          </w:p>
        </w:tc>
        <w:tc>
          <w:tcPr>
            <w:tcW w:w="1700" w:type="dxa"/>
          </w:tcPr>
          <w:p>
            <w:r>
              <w:t xml:space="preserve">0.51</w:t>
            </w:r>
          </w:p>
        </w:tc>
        <w:tc>
          <w:tcPr>
            <w:tcW w:w="1600" w:type="dxa"/>
          </w:tcPr>
          <w:p>
            <w:r>
              <w:t xml:space="preserve">0.73</w:t>
            </w:r>
          </w:p>
        </w:tc>
      </w:tr>
      <w:tr>
        <w:trPr>
          <w:cantSplit/>
        </w:trPr>
        <w:tc>
          <w:tcPr>
            <w:tcW w:w="2200" w:type="dxa"/>
          </w:tcPr>
          <w:p>
            <w:r>
              <w:t xml:space="preserve">Missing greenery</w:t>
            </w:r>
          </w:p>
        </w:tc>
        <w:tc>
          <w:tcPr>
            <w:tcW w:w="1300" w:type="dxa"/>
          </w:tcPr>
          <w:p>
            <w:r>
              <w:t xml:space="preserve">0.375</w:t>
            </w:r>
          </w:p>
        </w:tc>
        <w:tc>
          <w:tcPr>
            <w:tcW w:w="1600" w:type="dxa"/>
          </w:tcPr>
          <w:p>
            <w:r>
              <w:t xml:space="preserve">0.67</w:t>
            </w:r>
          </w:p>
        </w:tc>
        <w:tc>
          <w:tcPr>
            <w:tcW w:w="1500" w:type="dxa"/>
          </w:tcPr>
          <w:p>
            <w:r>
              <w:t xml:space="preserve">0.51</w:t>
            </w:r>
          </w:p>
        </w:tc>
        <w:tc>
          <w:tcPr>
            <w:tcW w:w="1700" w:type="dxa"/>
          </w:tcPr>
          <w:p>
            <w:r>
              <w:t xml:space="preserve">1.00</w:t>
            </w:r>
          </w:p>
        </w:tc>
        <w:tc>
          <w:tcPr>
            <w:tcW w:w="1600" w:type="dxa"/>
          </w:tcPr>
          <w:p>
            <w:r>
              <w:t xml:space="preserve">0.92</w:t>
            </w:r>
          </w:p>
        </w:tc>
      </w:tr>
    </w:tbl>
    <w:p/>
    <w:p>
      <w:r>
        <w:t xml:space="preserve">The first principal component explains 67% of the pillars' variation (then 24% and 9%), so the pillars share a common direction and a single weighted index is a reasonable summary. All three pillars correlate positively, and missing greenery is the most tightly linked to the final score. Because the pillars are min-max scaled before weighting, each pillar's influence depends on its spread as well as its weight.</w:t>
      </w:r>
    </w:p>
    <w:p>
      <w:pPr>
        <w:pStyle w:val="Heading2"/>
      </w:pPr>
      <w:r>
        <w:t xml:space="preserve">2.2 Robustness to measurement noise</w:t>
      </w:r>
    </w:p>
    <w:tbl>
      <w:tblPr>
        <w:tblW w:w="990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80" w:type="dxa"/>
          <w:right w:w="80" w:type="dxa"/>
        </w:tblCellMar>
        <w:tblLook w:val="04A0" w:firstRow="1" w:lastRow="0" w:firstColumn="1" w:lastColumn="0" w:noHBand="0" w:noVBand="1"/>
      </w:tblPr>
      <w:tblGrid>
        <w:gridCol w:w="1300"/>
        <w:gridCol w:w="1100"/>
        <w:gridCol w:w="1300"/>
        <w:gridCol w:w="1300"/>
        <w:gridCol w:w="1300"/>
        <w:gridCol w:w="1400"/>
        <w:gridCol w:w="1100"/>
        <w:gridCol w:w="1100"/>
      </w:tblGrid>
      <w:tr>
        <w:trPr>
          <w:tblHeader/>
        </w:trPr>
        <w:tc>
          <w:tcPr>
            <w:tcW w:w="1300" w:type="dxa"/>
            <w:shd w:val="clear" w:color="auto" w:fill="E2E8F0"/>
          </w:tcPr>
          <w:p>
            <w:r>
              <w:t xml:space="preserve">View</w:t>
            </w:r>
          </w:p>
        </w:tc>
        <w:tc>
          <w:tcPr>
            <w:tcW w:w="1100" w:type="dxa"/>
            <w:shd w:val="clear" w:color="auto" w:fill="E2E8F0"/>
          </w:tcPr>
          <w:p>
            <w:r>
              <w:t xml:space="preserve">Subzones</w:t>
            </w:r>
          </w:p>
        </w:tc>
        <w:tc>
          <w:tcPr>
            <w:tcW w:w="1300" w:type="dxa"/>
            <w:shd w:val="clear" w:color="auto" w:fill="E2E8F0"/>
          </w:tcPr>
          <w:p>
            <w:r>
              <w:t xml:space="preserve">Mean 90% band width</w:t>
            </w:r>
          </w:p>
        </w:tc>
        <w:tc>
          <w:tcPr>
            <w:tcW w:w="1300" w:type="dxa"/>
            <w:shd w:val="clear" w:color="auto" w:fill="E2E8F0"/>
          </w:tcPr>
          <w:p>
            <w:r>
              <w:t xml:space="preserve">Point outside own band</w:t>
            </w:r>
          </w:p>
        </w:tc>
        <w:tc>
          <w:tcPr>
            <w:tcW w:w="1300" w:type="dxa"/>
            <w:shd w:val="clear" w:color="auto" w:fill="E2E8F0"/>
          </w:tcPr>
          <w:p>
            <w:r>
              <w:t xml:space="preserve">Noise floor (top 20)</w:t>
            </w:r>
          </w:p>
        </w:tc>
        <w:tc>
          <w:tcPr>
            <w:tcW w:w="1400" w:type="dxa"/>
            <w:shd w:val="clear" w:color="auto" w:fill="E2E8F0"/>
          </w:tcPr>
          <w:p>
            <w:r>
              <w:t xml:space="preserve">Top 20: chance of staying ≥ 0.9</w:t>
            </w:r>
          </w:p>
        </w:tc>
        <w:tc>
          <w:tcPr>
            <w:tcW w:w="1100" w:type="dxa"/>
            <w:shd w:val="clear" w:color="auto" w:fill="E2E8F0"/>
          </w:tcPr>
          <w:p>
            <w:r>
              <w:t xml:space="preserve">0.5–0.9</w:t>
            </w:r>
          </w:p>
        </w:tc>
        <w:tc>
          <w:tcPr>
            <w:tcW w:w="1100" w:type="dxa"/>
            <w:shd w:val="clear" w:color="auto" w:fill="E2E8F0"/>
          </w:tcPr>
          <w:p>
            <w:r>
              <w:t xml:space="preserve">&lt; 0.5</w:t>
            </w:r>
          </w:p>
        </w:tc>
      </w:tr>
      <w:tr>
        <w:trPr>
          <w:cantSplit/>
        </w:trPr>
        <w:tc>
          <w:tcPr>
            <w:tcW w:w="1300" w:type="dxa"/>
          </w:tcPr>
          <w:p>
            <w:r>
              <w:t xml:space="preserve">Residents</w:t>
            </w:r>
          </w:p>
        </w:tc>
        <w:tc>
          <w:tcPr>
            <w:tcW w:w="1100" w:type="dxa"/>
          </w:tcPr>
          <w:p>
            <w:r>
              <w:t xml:space="preserve">211</w:t>
            </w:r>
          </w:p>
        </w:tc>
        <w:tc>
          <w:tcPr>
            <w:tcW w:w="1300" w:type="dxa"/>
          </w:tcPr>
          <w:p>
            <w:r>
              <w:t xml:space="preserve">0.20</w:t>
            </w:r>
          </w:p>
        </w:tc>
        <w:tc>
          <w:tcPr>
            <w:tcW w:w="1300" w:type="dxa"/>
          </w:tcPr>
          <w:p>
            <w:r>
              <w:t xml:space="preserve">0</w:t>
            </w:r>
          </w:p>
        </w:tc>
        <w:tc>
          <w:tcPr>
            <w:tcW w:w="1300" w:type="dxa"/>
          </w:tcPr>
          <w:p>
            <w:r>
              <w:t xml:space="preserve">10.9</w:t>
            </w:r>
          </w:p>
        </w:tc>
        <w:tc>
          <w:tcPr>
            <w:tcW w:w="1400" w:type="dxa"/>
          </w:tcPr>
          <w:p>
            <w:r>
              <w:t xml:space="preserve">0</w:t>
            </w:r>
          </w:p>
        </w:tc>
        <w:tc>
          <w:tcPr>
            <w:tcW w:w="1100" w:type="dxa"/>
          </w:tcPr>
          <w:p>
            <w:r>
              <w:t xml:space="preserve">6</w:t>
            </w:r>
          </w:p>
        </w:tc>
        <w:tc>
          <w:tcPr>
            <w:tcW w:w="1100" w:type="dxa"/>
          </w:tcPr>
          <w:p>
            <w:r>
              <w:t xml:space="preserve">14</w:t>
            </w:r>
          </w:p>
        </w:tc>
      </w:tr>
      <w:tr>
        <w:trPr>
          <w:cantSplit/>
        </w:trPr>
        <w:tc>
          <w:tcPr>
            <w:tcW w:w="1300" w:type="dxa"/>
          </w:tcPr>
          <w:p>
            <w:r>
              <w:t xml:space="preserve">All places</w:t>
            </w:r>
          </w:p>
        </w:tc>
        <w:tc>
          <w:tcPr>
            <w:tcW w:w="1100" w:type="dxa"/>
          </w:tcPr>
          <w:p>
            <w:r>
              <w:t xml:space="preserve">332</w:t>
            </w:r>
          </w:p>
        </w:tc>
        <w:tc>
          <w:tcPr>
            <w:tcW w:w="1300" w:type="dxa"/>
          </w:tcPr>
          <w:p>
            <w:r>
              <w:t xml:space="preserve">0.29</w:t>
            </w:r>
          </w:p>
        </w:tc>
        <w:tc>
          <w:tcPr>
            <w:tcW w:w="1300" w:type="dxa"/>
          </w:tcPr>
          <w:p>
            <w:r>
              <w:t xml:space="preserve">0</w:t>
            </w:r>
          </w:p>
        </w:tc>
        <w:tc>
          <w:tcPr>
            <w:tcW w:w="1300" w:type="dxa"/>
          </w:tcPr>
          <w:p>
            <w:r>
              <w:t xml:space="preserve">11.0</w:t>
            </w:r>
          </w:p>
        </w:tc>
        <w:tc>
          <w:tcPr>
            <w:tcW w:w="1400" w:type="dxa"/>
          </w:tcPr>
          <w:p>
            <w:r>
              <w:t xml:space="preserve">0</w:t>
            </w:r>
          </w:p>
        </w:tc>
        <w:tc>
          <w:tcPr>
            <w:tcW w:w="1100" w:type="dxa"/>
          </w:tcPr>
          <w:p>
            <w:r>
              <w:t xml:space="preserve">5</w:t>
            </w:r>
          </w:p>
        </w:tc>
        <w:tc>
          <w:tcPr>
            <w:tcW w:w="1100" w:type="dxa"/>
          </w:tcPr>
          <w:p>
            <w:r>
              <w:t xml:space="preserve">15</w:t>
            </w:r>
          </w:p>
        </w:tc>
      </w:tr>
    </w:tbl>
    <w:p/>
    <w:p>
      <w:r>
        <w:t xml:space="preserve">Scores run from 0 to 1, so a band about 0.20 wide is large: neighbouring subzones in the ranking cannot be told apart. No top-20 subzone stays in the top 20 in 90% of draws; 6 stay in more than half. The noise floor is the yardstick for every decision-impact result in this report.</w:t>
      </w:r>
    </w:p>
    <w:tbl>
      <w:tblPr>
        <w:tblW w:w="990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80" w:type="dxa"/>
          <w:right w:w="80" w:type="dxa"/>
        </w:tblCellMar>
        <w:tblLook w:val="04A0" w:firstRow="1" w:lastRow="0" w:firstColumn="1" w:lastColumn="0" w:noHBand="0" w:noVBand="1"/>
      </w:tblPr>
      <w:tblGrid>
        <w:gridCol w:w="3400"/>
        <w:gridCol w:w="2000"/>
        <w:gridCol w:w="2200"/>
        <w:gridCol w:w="2300"/>
      </w:tblGrid>
      <w:tr>
        <w:trPr>
          <w:tblHeader/>
        </w:trPr>
        <w:tc>
          <w:tcPr>
            <w:tcW w:w="3400" w:type="dxa"/>
            <w:shd w:val="clear" w:color="auto" w:fill="E2E8F0"/>
          </w:tcPr>
          <w:p>
            <w:r>
              <w:t xml:space="preserve">Noise included</w:t>
            </w:r>
          </w:p>
        </w:tc>
        <w:tc>
          <w:tcPr>
            <w:tcW w:w="2000" w:type="dxa"/>
            <w:shd w:val="clear" w:color="auto" w:fill="E2E8F0"/>
          </w:tcPr>
          <w:p>
            <w:r>
              <w:t xml:space="preserve">Heat noise (°C)</w:t>
            </w:r>
          </w:p>
        </w:tc>
        <w:tc>
          <w:tcPr>
            <w:tcW w:w="2200" w:type="dxa"/>
            <w:shd w:val="clear" w:color="auto" w:fill="E2E8F0"/>
          </w:tcPr>
          <w:p>
            <w:r>
              <w:t xml:space="preserve">Greenery noise (share)</w:t>
            </w:r>
          </w:p>
        </w:tc>
        <w:tc>
          <w:tcPr>
            <w:tcW w:w="2300" w:type="dxa"/>
            <w:shd w:val="clear" w:color="auto" w:fill="E2E8F0"/>
          </w:tcPr>
          <w:p>
            <w:r>
              <w:t xml:space="preserve">Noise floor (top 20)</w:t>
            </w:r>
          </w:p>
        </w:tc>
      </w:tr>
      <w:tr>
        <w:trPr>
          <w:cantSplit/>
        </w:trPr>
        <w:tc>
          <w:tcPr>
            <w:tcW w:w="3400" w:type="dxa"/>
          </w:tcPr>
          <w:p>
            <w:r>
              <w:t xml:space="preserve">Both (production)</w:t>
            </w:r>
          </w:p>
        </w:tc>
        <w:tc>
          <w:tcPr>
            <w:tcW w:w="2000" w:type="dxa"/>
          </w:tcPr>
          <w:p>
            <w:r>
              <w:t xml:space="preserve">1.91</w:t>
            </w:r>
          </w:p>
        </w:tc>
        <w:tc>
          <w:tcPr>
            <w:tcW w:w="2200" w:type="dxa"/>
          </w:tcPr>
          <w:p>
            <w:r>
              <w:t xml:space="preserve">0.092</w:t>
            </w:r>
          </w:p>
        </w:tc>
        <w:tc>
          <w:tcPr>
            <w:tcW w:w="2300" w:type="dxa"/>
          </w:tcPr>
          <w:p>
            <w:r>
              <w:t xml:space="preserve">10.9</w:t>
            </w:r>
          </w:p>
        </w:tc>
      </w:tr>
      <w:tr>
        <w:trPr>
          <w:cantSplit/>
        </w:trPr>
        <w:tc>
          <w:tcPr>
            <w:tcW w:w="3400" w:type="dxa"/>
          </w:tcPr>
          <w:p>
            <w:r>
              <w:t xml:space="preserve">Heat exposure only</w:t>
            </w:r>
          </w:p>
        </w:tc>
        <w:tc>
          <w:tcPr>
            <w:tcW w:w="2000" w:type="dxa"/>
          </w:tcPr>
          <w:p>
            <w:r>
              <w:t xml:space="preserve">1.91</w:t>
            </w:r>
          </w:p>
        </w:tc>
        <w:tc>
          <w:tcPr>
            <w:tcW w:w="2200" w:type="dxa"/>
          </w:tcPr>
          <w:p>
            <w:r>
              <w:t xml:space="preserve">none</w:t>
            </w:r>
          </w:p>
        </w:tc>
        <w:tc>
          <w:tcPr>
            <w:tcW w:w="2300" w:type="dxa"/>
          </w:tcPr>
          <w:p>
            <w:r>
              <w:t xml:space="preserve">10.4</w:t>
            </w:r>
          </w:p>
        </w:tc>
      </w:tr>
      <w:tr>
        <w:trPr>
          <w:cantSplit/>
        </w:trPr>
        <w:tc>
          <w:tcPr>
            <w:tcW w:w="3400" w:type="dxa"/>
          </w:tcPr>
          <w:p>
            <w:r>
              <w:t xml:space="preserve">Greenery only</w:t>
            </w:r>
          </w:p>
        </w:tc>
        <w:tc>
          <w:tcPr>
            <w:tcW w:w="2000" w:type="dxa"/>
          </w:tcPr>
          <w:p>
            <w:r>
              <w:t xml:space="preserve">none</w:t>
            </w:r>
          </w:p>
        </w:tc>
        <w:tc>
          <w:tcPr>
            <w:tcW w:w="2200" w:type="dxa"/>
          </w:tcPr>
          <w:p>
            <w:r>
              <w:t xml:space="preserve">0.092</w:t>
            </w:r>
          </w:p>
        </w:tc>
        <w:tc>
          <w:tcPr>
            <w:tcW w:w="2300" w:type="dxa"/>
          </w:tcPr>
          <w:p>
            <w:r>
              <w:t xml:space="preserve">5.2</w:t>
            </w:r>
          </w:p>
        </w:tc>
      </w:tr>
    </w:tbl>
    <w:p/>
    <w:p>
      <w:r>
        <w:t xml:space="preserve">Heat measurement noise drives the uncertainty; greenery noise on its own moves about half as many subzones. The greenery-only figure is approximate (see Limitations).</w:t>
      </w:r>
    </w:p>
    <w:p>
      <w:pPr>
        <w:pStyle w:val="Heading2"/>
      </w:pPr>
      <w:r>
        <w:t xml:space="preserve">2.3 Face validity against published hotspot areas</w:t>
      </w:r>
    </w:p>
    <w:p>
      <w:r>
        <w:t xml:space="preserve">The Singapore-ETH Centre's urban heat vulnerability analysis names seven planning areas as hotspots (Geylang, Jurong East, Marine Parade, Punggol, Sengkang, Serangoon, Woodlands). Its index differs from this one (air temperature, humidity, vegetation and demographics, at planning-area level, around 2020), so this is a supporting check only.</w:t>
      </w:r>
    </w:p>
    <w:tbl>
      <w:tblPr>
        <w:tblW w:w="990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80" w:type="dxa"/>
          <w:right w:w="80" w:type="dxa"/>
        </w:tblCellMar>
        <w:tblLook w:val="04A0" w:firstRow="1" w:lastRow="0" w:firstColumn="1" w:lastColumn="0" w:noHBand="0" w:noVBand="1"/>
      </w:tblPr>
      <w:tblGrid>
        <w:gridCol w:w="1300"/>
        <w:gridCol w:w="1800"/>
        <w:gridCol w:w="1600"/>
        <w:gridCol w:w="1500"/>
        <w:gridCol w:w="3700"/>
      </w:tblGrid>
      <w:tr>
        <w:trPr>
          <w:tblHeader/>
        </w:trPr>
        <w:tc>
          <w:tcPr>
            <w:tcW w:w="1300" w:type="dxa"/>
            <w:shd w:val="clear" w:color="auto" w:fill="E2E8F0"/>
          </w:tcPr>
          <w:p>
            <w:r>
              <w:t xml:space="preserve">View</w:t>
            </w:r>
          </w:p>
        </w:tc>
        <w:tc>
          <w:tcPr>
            <w:tcW w:w="1800" w:type="dxa"/>
            <w:shd w:val="clear" w:color="auto" w:fill="E2E8F0"/>
          </w:tcPr>
          <w:p>
            <w:r>
              <w:t xml:space="preserve">Top-20 subzones in those areas</w:t>
            </w:r>
          </w:p>
        </w:tc>
        <w:tc>
          <w:tcPr>
            <w:tcW w:w="1600" w:type="dxa"/>
            <w:shd w:val="clear" w:color="auto" w:fill="E2E8F0"/>
          </w:tcPr>
          <w:p>
            <w:r>
              <w:t xml:space="preserve">Expected by chance</w:t>
            </w:r>
          </w:p>
        </w:tc>
        <w:tc>
          <w:tcPr>
            <w:tcW w:w="1500" w:type="dxa"/>
            <w:shd w:val="clear" w:color="auto" w:fill="E2E8F0"/>
          </w:tcPr>
          <w:p>
            <w:r>
              <w:t xml:space="preserve">p (at least this many)</w:t>
            </w:r>
          </w:p>
        </w:tc>
        <w:tc>
          <w:tcPr>
            <w:tcW w:w="3700" w:type="dxa"/>
            <w:shd w:val="clear" w:color="auto" w:fill="E2E8F0"/>
          </w:tcPr>
          <w:p>
            <w:r>
              <w:t xml:space="preserve">Subzones</w:t>
            </w:r>
          </w:p>
        </w:tc>
      </w:tr>
      <w:tr>
        <w:trPr>
          <w:cantSplit/>
        </w:trPr>
        <w:tc>
          <w:tcPr>
            <w:tcW w:w="1300" w:type="dxa"/>
          </w:tcPr>
          <w:p>
            <w:r>
              <w:t xml:space="preserve">Residents</w:t>
            </w:r>
          </w:p>
        </w:tc>
        <w:tc>
          <w:tcPr>
            <w:tcW w:w="1800" w:type="dxa"/>
          </w:tcPr>
          <w:p>
            <w:r>
              <w:t xml:space="preserve">4</w:t>
            </w:r>
          </w:p>
        </w:tc>
        <w:tc>
          <w:tcPr>
            <w:tcW w:w="1600" w:type="dxa"/>
          </w:tcPr>
          <w:p>
            <w:r>
              <w:t xml:space="preserve">3.1</w:t>
            </w:r>
          </w:p>
        </w:tc>
        <w:tc>
          <w:tcPr>
            <w:tcW w:w="1500" w:type="dxa"/>
          </w:tcPr>
          <w:p>
            <w:r>
              <w:t xml:space="preserve">0.38</w:t>
            </w:r>
          </w:p>
        </w:tc>
        <w:tc>
          <w:tcPr>
            <w:tcW w:w="3700" w:type="dxa"/>
          </w:tcPr>
          <w:p>
            <w:r>
              <w:t xml:space="preserve">Geylang East; Katong; Midview; Serangoon Central</w:t>
            </w:r>
          </w:p>
        </w:tc>
      </w:tr>
      <w:tr>
        <w:trPr>
          <w:cantSplit/>
        </w:trPr>
        <w:tc>
          <w:tcPr>
            <w:tcW w:w="1300" w:type="dxa"/>
          </w:tcPr>
          <w:p>
            <w:r>
              <w:t xml:space="preserve">All places</w:t>
            </w:r>
          </w:p>
        </w:tc>
        <w:tc>
          <w:tcPr>
            <w:tcW w:w="1800" w:type="dxa"/>
          </w:tcPr>
          <w:p>
            <w:r>
              <w:t xml:space="preserve">4</w:t>
            </w:r>
          </w:p>
        </w:tc>
        <w:tc>
          <w:tcPr>
            <w:tcW w:w="1600" w:type="dxa"/>
          </w:tcPr>
          <w:p>
            <w:r>
              <w:t xml:space="preserve">3.1</w:t>
            </w:r>
          </w:p>
        </w:tc>
        <w:tc>
          <w:tcPr>
            <w:tcW w:w="1500" w:type="dxa"/>
          </w:tcPr>
          <w:p>
            <w:r>
              <w:t xml:space="preserve">0.37</w:t>
            </w:r>
          </w:p>
        </w:tc>
        <w:tc>
          <w:tcPr>
            <w:tcW w:w="3700" w:type="dxa"/>
          </w:tcPr>
          <w:p>
            <w:r>
              <w:t xml:space="preserve">Geylang East; Kampong Ubi; Katong; Woodlands Regional Centre</w:t>
            </w:r>
          </w:p>
        </w:tc>
      </w:tr>
    </w:tbl>
    <w:p/>
    <w:p>
      <w:r>
        <w:t xml:space="preserve">4 of the residents' top 20 lie in those areas against 3.1 expected by chance, which is not distinguishable from chance. The two indices agree only weakly.</w:t>
      </w:r>
    </w:p>
    <w:p>
      <w:pPr>
        <w:pStyle w:val="Heading1"/>
      </w:pPr>
      <w:r>
        <w:t xml:space="preserve">3. Ablations and controlled comparisons</w:t>
      </w:r>
    </w:p>
    <w:p>
      <w:r>
        <w:t xml:space="preserve">Each test rebuilds the score with one change and counts how many of the production top-20 subzones leave, compared with the noise floor of 10.9.</w:t>
      </w:r>
    </w:p>
    <w:p>
      <w:pPr>
        <w:pStyle w:val="Heading2"/>
      </w:pPr>
      <w:r>
        <w:t xml:space="preserve">3.1 Pillars and aggregation</w:t>
      </w:r>
    </w:p>
    <w:tbl>
      <w:tblPr>
        <w:tblW w:w="990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80" w:type="dxa"/>
          <w:right w:w="80" w:type="dxa"/>
        </w:tblCellMar>
        <w:tblLook w:val="04A0" w:firstRow="1" w:lastRow="0" w:firstColumn="1" w:lastColumn="0" w:noHBand="0" w:noVBand="1"/>
      </w:tblPr>
      <w:tblGrid>
        <w:gridCol w:w="3900"/>
        <w:gridCol w:w="2000"/>
        <w:gridCol w:w="2400"/>
        <w:gridCol w:w="1600"/>
      </w:tblGrid>
      <w:tr>
        <w:trPr>
          <w:tblHeader/>
        </w:trPr>
        <w:tc>
          <w:tcPr>
            <w:tcW w:w="3900" w:type="dxa"/>
            <w:shd w:val="clear" w:color="auto" w:fill="E2E8F0"/>
          </w:tcPr>
          <w:p>
            <w:r>
              <w:t xml:space="preserve">Change</w:t>
            </w:r>
          </w:p>
        </w:tc>
        <w:tc>
          <w:tcPr>
            <w:tcW w:w="2000" w:type="dxa"/>
            <w:shd w:val="clear" w:color="auto" w:fill="E2E8F0"/>
          </w:tcPr>
          <w:p>
            <w:r>
              <w:t xml:space="preserve">Top-20 subzones changed</w:t>
            </w:r>
          </w:p>
        </w:tc>
        <w:tc>
          <w:tcPr>
            <w:tcW w:w="2400" w:type="dxa"/>
            <w:shd w:val="clear" w:color="auto" w:fill="E2E8F0"/>
          </w:tcPr>
          <w:p>
            <w:r>
              <w:t xml:space="preserve">Rank correlation with production</w:t>
            </w:r>
          </w:p>
        </w:tc>
        <w:tc>
          <w:tcPr>
            <w:tcW w:w="1600" w:type="dxa"/>
            <w:shd w:val="clear" w:color="auto" w:fill="E2E8F0"/>
          </w:tcPr>
          <w:p>
            <w:r>
              <w:t xml:space="preserve">Against noise floor</w:t>
            </w:r>
          </w:p>
        </w:tc>
      </w:tr>
      <w:tr>
        <w:trPr>
          <w:cantSplit/>
        </w:trPr>
        <w:tc>
          <w:tcPr>
            <w:tcW w:w="3900" w:type="dxa"/>
          </w:tcPr>
          <w:p>
            <w:r>
              <w:t xml:space="preserve">Without heat exposure</w:t>
            </w:r>
          </w:p>
        </w:tc>
        <w:tc>
          <w:tcPr>
            <w:tcW w:w="2000" w:type="dxa"/>
          </w:tcPr>
          <w:p>
            <w:r>
              <w:t xml:space="preserve">12</w:t>
            </w:r>
          </w:p>
        </w:tc>
        <w:tc>
          <w:tcPr>
            <w:tcW w:w="2400" w:type="dxa"/>
          </w:tcPr>
          <w:p>
            <w:r>
              <w:t xml:space="preserve">0.898</w:t>
            </w:r>
          </w:p>
        </w:tc>
        <w:tc>
          <w:tcPr>
            <w:tcW w:w="1600" w:type="dxa"/>
          </w:tcPr>
          <w:p>
            <w:r>
              <w:t xml:space="preserve">Exceeds</w:t>
            </w:r>
          </w:p>
        </w:tc>
      </w:tr>
      <w:tr>
        <w:trPr>
          <w:cantSplit/>
        </w:trPr>
        <w:tc>
          <w:tcPr>
            <w:tcW w:w="3900" w:type="dxa"/>
          </w:tcPr>
          <w:p>
            <w:r>
              <w:t xml:space="preserve">Without sensitivity</w:t>
            </w:r>
          </w:p>
        </w:tc>
        <w:tc>
          <w:tcPr>
            <w:tcW w:w="2000" w:type="dxa"/>
          </w:tcPr>
          <w:p>
            <w:r>
              <w:t xml:space="preserve">12</w:t>
            </w:r>
          </w:p>
        </w:tc>
        <w:tc>
          <w:tcPr>
            <w:tcW w:w="2400" w:type="dxa"/>
          </w:tcPr>
          <w:p>
            <w:r>
              <w:t xml:space="preserve">0.872</w:t>
            </w:r>
          </w:p>
        </w:tc>
        <w:tc>
          <w:tcPr>
            <w:tcW w:w="1600" w:type="dxa"/>
          </w:tcPr>
          <w:p>
            <w:r>
              <w:t xml:space="preserve">Exceeds</w:t>
            </w:r>
          </w:p>
        </w:tc>
      </w:tr>
      <w:tr>
        <w:trPr>
          <w:cantSplit/>
        </w:trPr>
        <w:tc>
          <w:tcPr>
            <w:tcW w:w="3900" w:type="dxa"/>
          </w:tcPr>
          <w:p>
            <w:r>
              <w:t xml:space="preserve">Without missing greenery</w:t>
            </w:r>
          </w:p>
        </w:tc>
        <w:tc>
          <w:tcPr>
            <w:tcW w:w="2000" w:type="dxa"/>
          </w:tcPr>
          <w:p>
            <w:r>
              <w:t xml:space="preserve">0</w:t>
            </w:r>
          </w:p>
        </w:tc>
        <w:tc>
          <w:tcPr>
            <w:tcW w:w="2400" w:type="dxa"/>
          </w:tcPr>
          <w:p>
            <w:r>
              <w:t xml:space="preserve">0.969</w:t>
            </w:r>
          </w:p>
        </w:tc>
        <w:tc>
          <w:tcPr>
            <w:tcW w:w="1600" w:type="dxa"/>
          </w:tcPr>
          <w:p>
            <w:r>
              <w:t xml:space="preserve">Within</w:t>
            </w:r>
          </w:p>
        </w:tc>
      </w:tr>
      <w:tr>
        <w:trPr>
          <w:cantSplit/>
        </w:trPr>
        <w:tc>
          <w:tcPr>
            <w:tcW w:w="3900" w:type="dxa"/>
          </w:tcPr>
          <w:p>
            <w:r>
              <w:t xml:space="preserve">z-score instead of min-max aggregation</w:t>
            </w:r>
          </w:p>
        </w:tc>
        <w:tc>
          <w:tcPr>
            <w:tcW w:w="2000" w:type="dxa"/>
          </w:tcPr>
          <w:p>
            <w:r>
              <w:t xml:space="preserve">3</w:t>
            </w:r>
          </w:p>
        </w:tc>
        <w:tc>
          <w:tcPr>
            <w:tcW w:w="2400" w:type="dxa"/>
          </w:tcPr>
          <w:p>
            <w:r>
              <w:t xml:space="preserve">0.998</w:t>
            </w:r>
          </w:p>
        </w:tc>
        <w:tc>
          <w:tcPr>
            <w:tcW w:w="1600" w:type="dxa"/>
          </w:tcPr>
          <w:p>
            <w:r>
              <w:t xml:space="preserve">Within</w:t>
            </w:r>
          </w:p>
        </w:tc>
      </w:tr>
    </w:tbl>
    <w:p/>
    <w:p>
      <w:r>
        <w:t xml:space="preserve">Heat and sensitivity each carry information the others do not: removing either changes more of the top 20 than noise does. Removing missing greenery leaves the top-20 list unchanged, but it does change the ranking:</w:t>
      </w:r>
    </w:p>
    <w:tbl>
      <w:tblPr>
        <w:tblW w:w="990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80" w:type="dxa"/>
          <w:right w:w="80" w:type="dxa"/>
        </w:tblCellMar>
        <w:tblLook w:val="04A0" w:firstRow="1" w:lastRow="0" w:firstColumn="1" w:lastColumn="0" w:noHBand="0" w:noVBand="1"/>
      </w:tblPr>
      <w:tblGrid>
        <w:gridCol w:w="4900"/>
        <w:gridCol w:w="5000"/>
      </w:tblGrid>
      <w:tr>
        <w:trPr>
          <w:tblHeader/>
        </w:trPr>
        <w:tc>
          <w:tcPr>
            <w:tcW w:w="4900" w:type="dxa"/>
            <w:shd w:val="clear" w:color="auto" w:fill="E2E8F0"/>
          </w:tcPr>
          <w:p>
            <w:r>
              <w:t xml:space="preserve">Without the missing-greenery pillar</w:t>
            </w:r>
          </w:p>
        </w:tc>
        <w:tc>
          <w:tcPr>
            <w:tcW w:w="5000" w:type="dxa"/>
            <w:shd w:val="clear" w:color="auto" w:fill="E2E8F0"/>
          </w:tcPr>
          <w:p>
            <w:r>
              <w:t xml:space="preserve">Result</w:t>
            </w:r>
          </w:p>
        </w:tc>
      </w:tr>
      <w:tr>
        <w:trPr>
          <w:cantSplit/>
        </w:trPr>
        <w:tc>
          <w:tcPr>
            <w:tcW w:w="4900" w:type="dxa"/>
          </w:tcPr>
          <w:p>
            <w:r>
              <w:t xml:space="preserve">Top-20 subzones changed</w:t>
            </w:r>
          </w:p>
        </w:tc>
        <w:tc>
          <w:tcPr>
            <w:tcW w:w="5000" w:type="dxa"/>
          </w:tcPr>
          <w:p>
            <w:r>
              <w:t xml:space="preserve">0</w:t>
            </w:r>
          </w:p>
        </w:tc>
      </w:tr>
      <w:tr>
        <w:trPr>
          <w:cantSplit/>
        </w:trPr>
        <w:tc>
          <w:tcPr>
            <w:tcW w:w="4900" w:type="dxa"/>
          </w:tcPr>
          <w:p>
            <w:r>
              <w:t xml:space="preserve">Top-10 and top-50 subzones changed</w:t>
            </w:r>
          </w:p>
        </w:tc>
        <w:tc>
          <w:tcPr>
            <w:tcW w:w="5000" w:type="dxa"/>
          </w:tcPr>
          <w:p>
            <w:r>
              <w:t xml:space="preserve">3 and 4</w:t>
            </w:r>
          </w:p>
        </w:tc>
      </w:tr>
      <w:tr>
        <w:trPr>
          <w:cantSplit/>
        </w:trPr>
        <w:tc>
          <w:tcPr>
            <w:tcW w:w="4900" w:type="dxa"/>
          </w:tcPr>
          <w:p>
            <w:r>
              <w:t xml:space="preserve">Rank shift within the top 20</w:t>
            </w:r>
          </w:p>
        </w:tc>
        <w:tc>
          <w:tcPr>
            <w:tcW w:w="5000" w:type="dxa"/>
          </w:tcPr>
          <w:p>
            <w:r>
              <w:t xml:space="preserve">2.5 places on average, up to 12</w:t>
            </w:r>
          </w:p>
        </w:tc>
      </w:tr>
      <w:tr>
        <w:trPr>
          <w:cantSplit/>
        </w:trPr>
        <w:tc>
          <w:tcPr>
            <w:tcW w:w="4900" w:type="dxa"/>
          </w:tcPr>
          <w:p>
            <w:r>
              <w:t xml:space="preserve">Rank shift across all ranked subzones</w:t>
            </w:r>
          </w:p>
        </w:tc>
        <w:tc>
          <w:tcPr>
            <w:tcW w:w="5000" w:type="dxa"/>
          </w:tcPr>
          <w:p>
            <w:r>
              <w:t xml:space="preserve">11.3 places on average; 101 of 211 move 10 or more places</w:t>
            </w:r>
          </w:p>
        </w:tc>
      </w:tr>
    </w:tbl>
    <w:p/>
    <w:p>
      <w:r>
        <w:t xml:space="preserve">Greenery therefore shapes the order but not the cut at 20. The subzones that make the top 20 are already the hot, densely populated ones, and they have little vegetation: 9 of the top 20 have essentially none, and 54% of all ranked subzones have under 5%. At the top of the list greenery reinforces what heat and sensitivity already show. The pillar stays in the score for its planning meaning, since greening is the intervention being prioritised. Standardising the pillars instead of min-max scaling changes 3 of the top 20.</w:t>
      </w:r>
    </w:p>
    <w:p>
      <w:pPr>
        <w:pStyle w:val="Heading2"/>
      </w:pPr>
      <w:r>
        <w:t xml:space="preserve">3.2 Weighting</w:t>
      </w:r>
    </w:p>
    <w:p>
      <w:r>
        <w:t xml:space="preserve">Equal weights instead of PCA weights change 3 of the top 20 (rank correlation 0.997). The data-derived weights are close to equal, so the choice has little effect.</w:t>
      </w:r>
    </w:p>
    <w:p>
      <w:pPr>
        <w:pStyle w:val="Heading2"/>
      </w:pPr>
      <w:r>
        <w:t xml:space="preserve">3.3 Sensitivity formula</w:t>
      </w:r>
    </w:p>
    <w:tbl>
      <w:tblPr>
        <w:tblW w:w="990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80" w:type="dxa"/>
          <w:right w:w="80" w:type="dxa"/>
        </w:tblCellMar>
        <w:tblLook w:val="04A0" w:firstRow="1" w:lastRow="0" w:firstColumn="1" w:lastColumn="0" w:noHBand="0" w:noVBand="1"/>
      </w:tblPr>
      <w:tblGrid>
        <w:gridCol w:w="5300"/>
        <w:gridCol w:w="2100"/>
        <w:gridCol w:w="2500"/>
      </w:tblGrid>
      <w:tr>
        <w:trPr>
          <w:tblHeader/>
        </w:trPr>
        <w:tc>
          <w:tcPr>
            <w:tcW w:w="5300" w:type="dxa"/>
            <w:shd w:val="clear" w:color="auto" w:fill="E2E8F0"/>
          </w:tcPr>
          <w:p>
            <w:r>
              <w:t xml:space="preserve">Alternative sensitivity formula</w:t>
            </w:r>
          </w:p>
        </w:tc>
        <w:tc>
          <w:tcPr>
            <w:tcW w:w="2100" w:type="dxa"/>
            <w:shd w:val="clear" w:color="auto" w:fill="E2E8F0"/>
          </w:tcPr>
          <w:p>
            <w:r>
              <w:t xml:space="preserve">Top-20 subzones changed</w:t>
            </w:r>
          </w:p>
        </w:tc>
        <w:tc>
          <w:tcPr>
            <w:tcW w:w="2500" w:type="dxa"/>
            <w:shd w:val="clear" w:color="auto" w:fill="E2E8F0"/>
          </w:tcPr>
          <w:p>
            <w:r>
              <w:t xml:space="preserve">Rank correlation with production</w:t>
            </w:r>
          </w:p>
        </w:tc>
      </w:tr>
      <w:tr>
        <w:trPr>
          <w:cantSplit/>
        </w:trPr>
        <w:tc>
          <w:tcPr>
            <w:tcW w:w="5300" w:type="dxa"/>
          </w:tcPr>
          <w:p>
            <w:r>
              <w:t xml:space="preserve">population count + elderly share</w:t>
            </w:r>
          </w:p>
        </w:tc>
        <w:tc>
          <w:tcPr>
            <w:tcW w:w="2100" w:type="dxa"/>
          </w:tcPr>
          <w:p>
            <w:r>
              <w:t xml:space="preserve">8</w:t>
            </w:r>
          </w:p>
        </w:tc>
        <w:tc>
          <w:tcPr>
            <w:tcW w:w="2500" w:type="dxa"/>
          </w:tcPr>
          <w:p>
            <w:r>
              <w:t xml:space="preserve">0.937</w:t>
            </w:r>
          </w:p>
        </w:tc>
      </w:tr>
      <w:tr>
        <w:trPr>
          <w:cantSplit/>
        </w:trPr>
        <w:tc>
          <w:tcPr>
            <w:tcW w:w="5300" w:type="dxa"/>
          </w:tcPr>
          <w:p>
            <w:r>
              <w:t xml:space="preserve">density 0.75 / elderly share 0.25</w:t>
            </w:r>
          </w:p>
        </w:tc>
        <w:tc>
          <w:tcPr>
            <w:tcW w:w="2100" w:type="dxa"/>
          </w:tcPr>
          <w:p>
            <w:r>
              <w:t xml:space="preserve">8</w:t>
            </w:r>
          </w:p>
        </w:tc>
        <w:tc>
          <w:tcPr>
            <w:tcW w:w="2500" w:type="dxa"/>
          </w:tcPr>
          <w:p>
            <w:r>
              <w:t xml:space="preserve">0.968</w:t>
            </w:r>
          </w:p>
        </w:tc>
      </w:tr>
      <w:tr>
        <w:trPr>
          <w:cantSplit/>
        </w:trPr>
        <w:tc>
          <w:tcPr>
            <w:tcW w:w="5300" w:type="dxa"/>
          </w:tcPr>
          <w:p>
            <w:r>
              <w:t xml:space="preserve">density 0.25 / elderly share 0.75</w:t>
            </w:r>
          </w:p>
        </w:tc>
        <w:tc>
          <w:tcPr>
            <w:tcW w:w="2100" w:type="dxa"/>
          </w:tcPr>
          <w:p>
            <w:r>
              <w:t xml:space="preserve">7</w:t>
            </w:r>
          </w:p>
        </w:tc>
        <w:tc>
          <w:tcPr>
            <w:tcW w:w="2500" w:type="dxa"/>
          </w:tcPr>
          <w:p>
            <w:r>
              <w:t xml:space="preserve">0.956</w:t>
            </w:r>
          </w:p>
        </w:tc>
      </w:tr>
      <w:tr>
        <w:trPr>
          <w:cantSplit/>
        </w:trPr>
        <w:tc>
          <w:tcPr>
            <w:tcW w:w="5300" w:type="dxa"/>
          </w:tcPr>
          <w:p>
            <w:r>
              <w:t xml:space="preserve">elderly share only</w:t>
            </w:r>
          </w:p>
        </w:tc>
        <w:tc>
          <w:tcPr>
            <w:tcW w:w="2100" w:type="dxa"/>
          </w:tcPr>
          <w:p>
            <w:r>
              <w:t xml:space="preserve">9</w:t>
            </w:r>
          </w:p>
        </w:tc>
        <w:tc>
          <w:tcPr>
            <w:tcW w:w="2500" w:type="dxa"/>
          </w:tcPr>
          <w:p>
            <w:r>
              <w:t xml:space="preserve">0.890</w:t>
            </w:r>
          </w:p>
        </w:tc>
      </w:tr>
      <w:tr>
        <w:trPr>
          <w:cantSplit/>
        </w:trPr>
        <w:tc>
          <w:tcPr>
            <w:tcW w:w="5300" w:type="dxa"/>
          </w:tcPr>
          <w:p>
            <w:r>
              <w:t xml:space="preserve">population density only</w:t>
            </w:r>
          </w:p>
        </w:tc>
        <w:tc>
          <w:tcPr>
            <w:tcW w:w="2100" w:type="dxa"/>
          </w:tcPr>
          <w:p>
            <w:r>
              <w:t xml:space="preserve">10</w:t>
            </w:r>
          </w:p>
        </w:tc>
        <w:tc>
          <w:tcPr>
            <w:tcW w:w="2500" w:type="dxa"/>
          </w:tcPr>
          <w:p>
            <w:r>
              <w:t xml:space="preserve">0.928</w:t>
            </w:r>
          </w:p>
        </w:tc>
      </w:tr>
      <w:tr>
        <w:trPr>
          <w:cantSplit/>
        </w:trPr>
        <w:tc>
          <w:tcPr>
            <w:tcW w:w="5300" w:type="dxa"/>
          </w:tcPr>
          <w:p>
            <w:r>
              <w:t xml:space="preserve">elderly density only (elderly residents per km²)</w:t>
            </w:r>
          </w:p>
        </w:tc>
        <w:tc>
          <w:tcPr>
            <w:tcW w:w="2100" w:type="dxa"/>
          </w:tcPr>
          <w:p>
            <w:r>
              <w:t xml:space="preserve">4</w:t>
            </w:r>
          </w:p>
        </w:tc>
        <w:tc>
          <w:tcPr>
            <w:tcW w:w="2500" w:type="dxa"/>
          </w:tcPr>
          <w:p>
            <w:r>
              <w:t xml:space="preserve">0.990</w:t>
            </w:r>
          </w:p>
        </w:tc>
      </w:tr>
      <w:tr>
        <w:trPr>
          <w:cantSplit/>
        </w:trPr>
        <w:tc>
          <w:tcPr>
            <w:tcW w:w="5300" w:type="dxa"/>
          </w:tcPr>
          <w:p>
            <w:r>
              <w:t xml:space="preserve">elderly density + elderly share</w:t>
            </w:r>
          </w:p>
        </w:tc>
        <w:tc>
          <w:tcPr>
            <w:tcW w:w="2100" w:type="dxa"/>
          </w:tcPr>
          <w:p>
            <w:r>
              <w:t xml:space="preserve">5</w:t>
            </w:r>
          </w:p>
        </w:tc>
        <w:tc>
          <w:tcPr>
            <w:tcW w:w="2500" w:type="dxa"/>
          </w:tcPr>
          <w:p>
            <w:r>
              <w:t xml:space="preserve">0.962</w:t>
            </w:r>
          </w:p>
        </w:tc>
      </w:tr>
    </w:tbl>
    <w:p/>
    <w:p>
      <w:r>
        <w:t xml:space="preserve">How sensitivity is defined matters more than any other method choice (4 to 10 subzones), though every alternative stays within the noise floor. Population density was chosen over raw count (decided 19 September 2026); raw count is the main alternative reported here.</w:t>
      </w:r>
    </w:p>
    <w:p>
      <w:pPr>
        <w:pStyle w:val="Heading2"/>
      </w:pPr>
      <w:r>
        <w:t xml:space="preserve">3.4 Minimum-residents threshold</w:t>
      </w:r>
    </w:p>
    <w:tbl>
      <w:tblPr>
        <w:tblW w:w="990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80" w:type="dxa"/>
          <w:right w:w="80" w:type="dxa"/>
        </w:tblCellMar>
        <w:tblLook w:val="04A0" w:firstRow="1" w:lastRow="0" w:firstColumn="1" w:lastColumn="0" w:noHBand="0" w:noVBand="1"/>
      </w:tblPr>
      <w:tblGrid>
        <w:gridCol w:w="3300"/>
        <w:gridCol w:w="3300"/>
        <w:gridCol w:w="3300"/>
      </w:tblGrid>
      <w:tr>
        <w:trPr>
          <w:tblHeader/>
        </w:trPr>
        <w:tc>
          <w:tcPr>
            <w:tcW w:w="3300" w:type="dxa"/>
            <w:shd w:val="clear" w:color="auto" w:fill="E2E8F0"/>
          </w:tcPr>
          <w:p>
            <w:r>
              <w:t xml:space="preserve">Minimum residents</w:t>
            </w:r>
          </w:p>
        </w:tc>
        <w:tc>
          <w:tcPr>
            <w:tcW w:w="3300" w:type="dxa"/>
            <w:shd w:val="clear" w:color="auto" w:fill="E2E8F0"/>
          </w:tcPr>
          <w:p>
            <w:r>
              <w:t xml:space="preserve">Subzones ranked</w:t>
            </w:r>
          </w:p>
        </w:tc>
        <w:tc>
          <w:tcPr>
            <w:tcW w:w="3300" w:type="dxa"/>
            <w:shd w:val="clear" w:color="auto" w:fill="E2E8F0"/>
          </w:tcPr>
          <w:p>
            <w:r>
              <w:t xml:space="preserve">Top-20 subzones changed</w:t>
            </w:r>
          </w:p>
        </w:tc>
      </w:tr>
      <w:tr>
        <w:trPr>
          <w:cantSplit/>
        </w:trPr>
        <w:tc>
          <w:tcPr>
            <w:tcW w:w="3300" w:type="dxa"/>
          </w:tcPr>
          <w:p>
            <w:r>
              <w:t xml:space="preserve">0</w:t>
            </w:r>
          </w:p>
        </w:tc>
        <w:tc>
          <w:tcPr>
            <w:tcW w:w="3300" w:type="dxa"/>
          </w:tcPr>
          <w:p>
            <w:r>
              <w:t xml:space="preserve">332</w:t>
            </w:r>
          </w:p>
        </w:tc>
        <w:tc>
          <w:tcPr>
            <w:tcW w:w="3300" w:type="dxa"/>
          </w:tcPr>
          <w:p>
            <w:r>
              <w:t xml:space="preserve">8</w:t>
            </w:r>
          </w:p>
        </w:tc>
      </w:tr>
      <w:tr>
        <w:trPr>
          <w:cantSplit/>
        </w:trPr>
        <w:tc>
          <w:tcPr>
            <w:tcW w:w="3300" w:type="dxa"/>
          </w:tcPr>
          <w:p>
            <w:r>
              <w:t xml:space="preserve">100</w:t>
            </w:r>
          </w:p>
        </w:tc>
        <w:tc>
          <w:tcPr>
            <w:tcW w:w="3300" w:type="dxa"/>
          </w:tcPr>
          <w:p>
            <w:r>
              <w:t xml:space="preserve">235</w:t>
            </w:r>
          </w:p>
        </w:tc>
        <w:tc>
          <w:tcPr>
            <w:tcW w:w="3300" w:type="dxa"/>
          </w:tcPr>
          <w:p>
            <w:r>
              <w:t xml:space="preserve">7</w:t>
            </w:r>
          </w:p>
        </w:tc>
      </w:tr>
      <w:tr>
        <w:trPr>
          <w:cantSplit/>
        </w:trPr>
        <w:tc>
          <w:tcPr>
            <w:tcW w:w="3300" w:type="dxa"/>
          </w:tcPr>
          <w:p>
            <w:r>
              <w:t xml:space="preserve">250</w:t>
            </w:r>
          </w:p>
        </w:tc>
        <w:tc>
          <w:tcPr>
            <w:tcW w:w="3300" w:type="dxa"/>
          </w:tcPr>
          <w:p>
            <w:r>
              <w:t xml:space="preserve">222</w:t>
            </w:r>
          </w:p>
        </w:tc>
        <w:tc>
          <w:tcPr>
            <w:tcW w:w="3300" w:type="dxa"/>
          </w:tcPr>
          <w:p>
            <w:r>
              <w:t xml:space="preserve">1</w:t>
            </w:r>
          </w:p>
        </w:tc>
      </w:tr>
      <w:tr>
        <w:trPr>
          <w:cantSplit/>
        </w:trPr>
        <w:tc>
          <w:tcPr>
            <w:tcW w:w="3300" w:type="dxa"/>
          </w:tcPr>
          <w:p>
            <w:r>
              <w:t xml:space="preserve">500 (production)</w:t>
            </w:r>
          </w:p>
        </w:tc>
        <w:tc>
          <w:tcPr>
            <w:tcW w:w="3300" w:type="dxa"/>
          </w:tcPr>
          <w:p>
            <w:r>
              <w:t xml:space="preserve">211</w:t>
            </w:r>
          </w:p>
        </w:tc>
        <w:tc>
          <w:tcPr>
            <w:tcW w:w="3300" w:type="dxa"/>
          </w:tcPr>
          <w:p>
            <w:r>
              <w:t xml:space="preserve">0</w:t>
            </w:r>
          </w:p>
        </w:tc>
      </w:tr>
      <w:tr>
        <w:trPr>
          <w:cantSplit/>
        </w:trPr>
        <w:tc>
          <w:tcPr>
            <w:tcW w:w="3300" w:type="dxa"/>
          </w:tcPr>
          <w:p>
            <w:r>
              <w:t xml:space="preserve">1000</w:t>
            </w:r>
          </w:p>
        </w:tc>
        <w:tc>
          <w:tcPr>
            <w:tcW w:w="3300" w:type="dxa"/>
          </w:tcPr>
          <w:p>
            <w:r>
              <w:t xml:space="preserve">201</w:t>
            </w:r>
          </w:p>
        </w:tc>
        <w:tc>
          <w:tcPr>
            <w:tcW w:w="3300" w:type="dxa"/>
          </w:tcPr>
          <w:p>
            <w:r>
              <w:t xml:space="preserve">1</w:t>
            </w:r>
          </w:p>
        </w:tc>
      </w:tr>
      <w:tr>
        <w:trPr>
          <w:cantSplit/>
        </w:trPr>
        <w:tc>
          <w:tcPr>
            <w:tcW w:w="3300" w:type="dxa"/>
          </w:tcPr>
          <w:p>
            <w:r>
              <w:t xml:space="preserve">2000</w:t>
            </w:r>
          </w:p>
        </w:tc>
        <w:tc>
          <w:tcPr>
            <w:tcW w:w="3300" w:type="dxa"/>
          </w:tcPr>
          <w:p>
            <w:r>
              <w:t xml:space="preserve">186</w:t>
            </w:r>
          </w:p>
        </w:tc>
        <w:tc>
          <w:tcPr>
            <w:tcW w:w="3300" w:type="dxa"/>
          </w:tcPr>
          <w:p>
            <w:r>
              <w:t xml:space="preserve">3</w:t>
            </w:r>
          </w:p>
        </w:tc>
      </w:tr>
    </w:tbl>
    <w:p/>
    <w:p>
      <w:r>
        <w:t xml:space="preserve">Thresholds from 250 to 1,000 residents give almost the same top 20 (at most 1 change). Lower thresholds change more (8 with none, 7 at 100), because subzones with a handful of residents get extreme sensitivity values; a high threshold of 2,000 changes 3.</w:t>
      </w:r>
    </w:p>
    <w:p>
      <w:pPr>
        <w:pStyle w:val="Heading2"/>
      </w:pPr>
      <w:r>
        <w:t xml:space="preserve">3.5 Residents view against all-places view</w:t>
      </w:r>
    </w:p>
    <w:p>
      <w:r>
        <w:t xml:space="preserve">Only 3 subzones are in both views' top 20; 15 of the all-places top 20 have too few residents to be ranked in the residents view (industrial estates and the port). On the subzones both views rank, their orders correlate at 0.87. The two views answer different questions and are reported separately.</w:t>
      </w:r>
    </w:p>
    <w:p>
      <w:pPr>
        <w:pStyle w:val="Heading1"/>
      </w:pPr>
      <w:r>
        <w:t xml:space="preserve">4. Decision impact across the project</w:t>
      </w:r>
    </w:p>
    <w:p>
      <w:r>
        <w:t xml:space="preserve">This table collects every decision-impact test in the report: each method choice, the range of top-20 subzones it changes across the alternatives tested, and the comparison with measurement noise.</w:t>
      </w:r>
    </w:p>
    <w:tbl>
      <w:tblPr>
        <w:tblW w:w="990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80" w:type="dxa"/>
          <w:right w:w="80" w:type="dxa"/>
        </w:tblCellMar>
        <w:tblLook w:val="04A0" w:firstRow="1" w:lastRow="0" w:firstColumn="1" w:lastColumn="0" w:noHBand="0" w:noVBand="1"/>
      </w:tblPr>
      <w:tblGrid>
        <w:gridCol w:w="3700"/>
        <w:gridCol w:w="1900"/>
        <w:gridCol w:w="2200"/>
        <w:gridCol w:w="2100"/>
      </w:tblGrid>
      <w:tr>
        <w:trPr>
          <w:tblHeader/>
        </w:trPr>
        <w:tc>
          <w:tcPr>
            <w:tcW w:w="3700" w:type="dxa"/>
            <w:shd w:val="clear" w:color="auto" w:fill="E2E8F0"/>
          </w:tcPr>
          <w:p>
            <w:r>
              <w:t xml:space="preserve">Choice</w:t>
            </w:r>
          </w:p>
        </w:tc>
        <w:tc>
          <w:tcPr>
            <w:tcW w:w="1900" w:type="dxa"/>
            <w:shd w:val="clear" w:color="auto" w:fill="E2E8F0"/>
          </w:tcPr>
          <w:p>
            <w:r>
              <w:t xml:space="preserve">Tested</w:t>
            </w:r>
          </w:p>
        </w:tc>
        <w:tc>
          <w:tcPr>
            <w:tcW w:w="2200" w:type="dxa"/>
            <w:shd w:val="clear" w:color="auto" w:fill="E2E8F0"/>
          </w:tcPr>
          <w:p>
            <w:r>
              <w:t xml:space="preserve">Top-20 subzones changed</w:t>
            </w:r>
          </w:p>
        </w:tc>
        <w:tc>
          <w:tcPr>
            <w:tcW w:w="2100" w:type="dxa"/>
            <w:shd w:val="clear" w:color="auto" w:fill="E2E8F0"/>
          </w:tcPr>
          <w:p>
            <w:r>
              <w:t xml:space="preserve">Against noise floor</w:t>
            </w:r>
          </w:p>
        </w:tc>
      </w:tr>
      <w:tr>
        <w:trPr>
          <w:cantSplit/>
        </w:trPr>
        <w:tc>
          <w:tcPr>
            <w:tcW w:w="3700" w:type="dxa"/>
          </w:tcPr>
          <w:p>
            <w:r>
              <w:t xml:space="preserve">Measurement noise alone (yardstick)</w:t>
            </w:r>
          </w:p>
        </w:tc>
        <w:tc>
          <w:tcPr>
            <w:tcW w:w="1900" w:type="dxa"/>
          </w:tcPr>
          <w:p>
            <w:r>
              <w:t xml:space="preserve">1,000 bootstrap draws</w:t>
            </w:r>
          </w:p>
        </w:tc>
        <w:tc>
          <w:tcPr>
            <w:tcW w:w="2200" w:type="dxa"/>
          </w:tcPr>
          <w:p>
            <w:r>
              <w:t xml:space="preserve">10.9 on average</w:t>
            </w:r>
          </w:p>
        </w:tc>
        <w:tc>
          <w:tcPr>
            <w:tcW w:w="2100" w:type="dxa"/>
          </w:tcPr>
          <w:p>
            <w:r>
              <w:t xml:space="preserve">—</w:t>
            </w:r>
          </w:p>
        </w:tc>
      </w:tr>
      <w:tr>
        <w:trPr>
          <w:cantSplit/>
        </w:trPr>
        <w:tc>
          <w:tcPr>
            <w:tcW w:w="3700" w:type="dxa"/>
          </w:tcPr>
          <w:p>
            <w:r>
              <w:t xml:space="preserve">Remove a pillar</w:t>
            </w:r>
          </w:p>
        </w:tc>
        <w:tc>
          <w:tcPr>
            <w:tcW w:w="1900" w:type="dxa"/>
          </w:tcPr>
          <w:p>
            <w:r>
              <w:t xml:space="preserve">3 pillars</w:t>
            </w:r>
          </w:p>
        </w:tc>
        <w:tc>
          <w:tcPr>
            <w:tcW w:w="2200" w:type="dxa"/>
          </w:tcPr>
          <w:p>
            <w:r>
              <w:t xml:space="preserve">0–12</w:t>
            </w:r>
          </w:p>
        </w:tc>
        <w:tc>
          <w:tcPr>
            <w:tcW w:w="2100" w:type="dxa"/>
          </w:tcPr>
          <w:p>
            <w:r>
              <w:t xml:space="preserve">Heat and sensitivity exceed</w:t>
            </w:r>
          </w:p>
        </w:tc>
      </w:tr>
      <w:tr>
        <w:trPr>
          <w:cantSplit/>
        </w:trPr>
        <w:tc>
          <w:tcPr>
            <w:tcW w:w="3700" w:type="dxa"/>
          </w:tcPr>
          <w:p>
            <w:r>
              <w:t xml:space="preserve">Sensitivity formula</w:t>
            </w:r>
          </w:p>
        </w:tc>
        <w:tc>
          <w:tcPr>
            <w:tcW w:w="1900" w:type="dxa"/>
          </w:tcPr>
          <w:p>
            <w:r>
              <w:t xml:space="preserve">7 alternatives</w:t>
            </w:r>
          </w:p>
        </w:tc>
        <w:tc>
          <w:tcPr>
            <w:tcW w:w="2200" w:type="dxa"/>
          </w:tcPr>
          <w:p>
            <w:r>
              <w:t xml:space="preserve">4–10</w:t>
            </w:r>
          </w:p>
        </w:tc>
        <w:tc>
          <w:tcPr>
            <w:tcW w:w="2100" w:type="dxa"/>
          </w:tcPr>
          <w:p>
            <w:r>
              <w:t xml:space="preserve">Within</w:t>
            </w:r>
          </w:p>
        </w:tc>
      </w:tr>
      <w:tr>
        <w:trPr>
          <w:cantSplit/>
        </w:trPr>
        <w:tc>
          <w:tcPr>
            <w:tcW w:w="3700" w:type="dxa"/>
          </w:tcPr>
          <w:p>
            <w:r>
              <w:t xml:space="preserve">Greenery source (land-cover model or NDVI)</w:t>
            </w:r>
          </w:p>
        </w:tc>
        <w:tc>
          <w:tcPr>
            <w:tcW w:w="1900" w:type="dxa"/>
          </w:tcPr>
          <w:p>
            <w:r>
              <w:t xml:space="preserve">6 alternatives</w:t>
            </w:r>
          </w:p>
        </w:tc>
        <w:tc>
          <w:tcPr>
            <w:tcW w:w="2200" w:type="dxa"/>
          </w:tcPr>
          <w:p>
            <w:r>
              <w:t xml:space="preserve">1–8</w:t>
            </w:r>
          </w:p>
        </w:tc>
        <w:tc>
          <w:tcPr>
            <w:tcW w:w="2100" w:type="dxa"/>
          </w:tcPr>
          <w:p>
            <w:r>
              <w:t xml:space="preserve">Within</w:t>
            </w:r>
          </w:p>
        </w:tc>
      </w:tr>
      <w:tr>
        <w:trPr>
          <w:cantSplit/>
        </w:trPr>
        <w:tc>
          <w:tcPr>
            <w:tcW w:w="3700" w:type="dxa"/>
          </w:tcPr>
          <w:p>
            <w:r>
              <w:t xml:space="preserve">Minimum-residents threshold</w:t>
            </w:r>
          </w:p>
        </w:tc>
        <w:tc>
          <w:tcPr>
            <w:tcW w:w="1900" w:type="dxa"/>
          </w:tcPr>
          <w:p>
            <w:r>
              <w:t xml:space="preserve">5 alternatives</w:t>
            </w:r>
          </w:p>
        </w:tc>
        <w:tc>
          <w:tcPr>
            <w:tcW w:w="2200" w:type="dxa"/>
          </w:tcPr>
          <w:p>
            <w:r>
              <w:t xml:space="preserve">1–8</w:t>
            </w:r>
          </w:p>
        </w:tc>
        <w:tc>
          <w:tcPr>
            <w:tcW w:w="2100" w:type="dxa"/>
          </w:tcPr>
          <w:p>
            <w:r>
              <w:t xml:space="preserve">Within</w:t>
            </w:r>
          </w:p>
        </w:tc>
      </w:tr>
      <w:tr>
        <w:trPr>
          <w:cantSplit/>
        </w:trPr>
        <w:tc>
          <w:tcPr>
            <w:tcW w:w="3700" w:type="dxa"/>
          </w:tcPr>
          <w:p>
            <w:r>
              <w:t xml:space="preserve">Weighting (PCA vs equal)</w:t>
            </w:r>
          </w:p>
        </w:tc>
        <w:tc>
          <w:tcPr>
            <w:tcW w:w="1900" w:type="dxa"/>
          </w:tcPr>
          <w:p>
            <w:r>
              <w:t xml:space="preserve">1 alternative</w:t>
            </w:r>
          </w:p>
        </w:tc>
        <w:tc>
          <w:tcPr>
            <w:tcW w:w="2200" w:type="dxa"/>
          </w:tcPr>
          <w:p>
            <w:r>
              <w:t xml:space="preserve">3</w:t>
            </w:r>
          </w:p>
        </w:tc>
        <w:tc>
          <w:tcPr>
            <w:tcW w:w="2100" w:type="dxa"/>
          </w:tcPr>
          <w:p>
            <w:r>
              <w:t xml:space="preserve">Within</w:t>
            </w:r>
          </w:p>
        </w:tc>
      </w:tr>
      <w:tr>
        <w:trPr>
          <w:cantSplit/>
        </w:trPr>
        <w:tc>
          <w:tcPr>
            <w:tcW w:w="3700" w:type="dxa"/>
          </w:tcPr>
          <w:p>
            <w:r>
              <w:t xml:space="preserve">Aggregation (min-max vs z-score)</w:t>
            </w:r>
          </w:p>
        </w:tc>
        <w:tc>
          <w:tcPr>
            <w:tcW w:w="1900" w:type="dxa"/>
          </w:tcPr>
          <w:p>
            <w:r>
              <w:t xml:space="preserve">1 alternative</w:t>
            </w:r>
          </w:p>
        </w:tc>
        <w:tc>
          <w:tcPr>
            <w:tcW w:w="2200" w:type="dxa"/>
          </w:tcPr>
          <w:p>
            <w:r>
              <w:t xml:space="preserve">3</w:t>
            </w:r>
          </w:p>
        </w:tc>
        <w:tc>
          <w:tcPr>
            <w:tcW w:w="2100" w:type="dxa"/>
          </w:tcPr>
          <w:p>
            <w:r>
              <w:t xml:space="preserve">Within</w:t>
            </w:r>
          </w:p>
        </w:tc>
      </w:tr>
      <w:tr>
        <w:trPr>
          <w:cantSplit/>
        </w:trPr>
        <w:tc>
          <w:tcPr>
            <w:tcW w:w="3700" w:type="dxa"/>
          </w:tcPr>
          <w:p>
            <w:r>
              <w:t xml:space="preserve">Heat layer (30 m vs 10 m)</w:t>
            </w:r>
          </w:p>
        </w:tc>
        <w:tc>
          <w:tcPr>
            <w:tcW w:w="1900" w:type="dxa"/>
          </w:tcPr>
          <w:p>
            <w:r>
              <w:t xml:space="preserve">2 alternatives</w:t>
            </w:r>
          </w:p>
        </w:tc>
        <w:tc>
          <w:tcPr>
            <w:tcW w:w="2200" w:type="dxa"/>
          </w:tcPr>
          <w:p>
            <w:r>
              <w:t xml:space="preserve">0</w:t>
            </w:r>
          </w:p>
        </w:tc>
        <w:tc>
          <w:tcPr>
            <w:tcW w:w="2100" w:type="dxa"/>
          </w:tcPr>
          <w:p>
            <w:r>
              <w:t xml:space="preserve">Within</w:t>
            </w:r>
          </w:p>
        </w:tc>
      </w:tr>
    </w:tbl>
    <w:p/>
    <w:p>
      <w:r>
        <w:t xml:space="preserve">Only the score's structure, which pillars it contains, changes the top 20 by more than measurement noise. None of the method choices does, so for planning purposes the ranking is robust to them, and each choice can be justified on its own grounds without changing the shortlist. The largest gain in ranking confidence would come from reducing heat measurement error, not from refining any one method.</w:t>
      </w:r>
    </w:p>
    <w:p>
      <w:pPr>
        <w:pStyle w:val="Heading1"/>
      </w:pPr>
      <w:r>
        <w:t xml:space="preserve">5. Limitations</w:t>
      </w:r>
    </w:p>
    <w:p>
      <w:r>
        <w:rPr>
          <w:b/>
        </w:rPr>
        <w:t xml:space="preserve">No ground truth. </w:t>
      </w:r>
      <w:r>
        <w:t xml:space="preserve">There is no record of where cooling was most needed, so the score is tested for robustness and consistency, not accuracy.</w:t>
      </w:r>
    </w:p>
    <w:p>
      <w:r>
        <w:rPr>
          <w:b/>
        </w:rPr>
        <w:t xml:space="preserve">Bands are not calibrated. </w:t>
      </w:r>
      <w:r>
        <w:t xml:space="preserve">They reflect measured error sizes in two pillars, but their coverage was never tested, and the heat error (Landsat against 1 km MODIS) is an upper bound.</w:t>
      </w:r>
    </w:p>
    <w:p>
      <w:r>
        <w:rPr>
          <w:b/>
        </w:rPr>
        <w:t xml:space="preserve">Greenery noise is clipped at zero. </w:t>
      </w:r>
      <w:r>
        <w:t xml:space="preserve">Perturbed greenery is capped to the 0–1 range, so for the 49 subzones with essentially no vegetation the noise can only push greenery up, which pulls their noisy scores down. The effect is small: rerun without the cap, the noise floor is 11.3 instead of 10.9, those subzones' average chance of being in the top 20 is 0.20 instead of 0.19, and no subzone's chance changes by more than 0.07. It is most visible when greenery noise acts alone, so that floor is approximate. Adding the noise on a scale that respects the 0–1 range would remove it.</w:t>
      </w:r>
    </w:p>
    <w:p>
      <w:r>
        <w:rPr>
          <w:b/>
        </w:rPr>
        <w:t xml:space="preserve">Placeholder settings. </w:t>
      </w:r>
      <w:r>
        <w:t xml:space="preserve">The 50/50 population-elderly split in the sensitivity pillar has not been justified; alternatives are tested above.</w:t>
      </w:r>
    </w:p>
    <w:p>
      <w:r>
        <w:rPr>
          <w:b/>
        </w:rPr>
        <w:t xml:space="preserve">Residents only. </w:t>
      </w:r>
      <w:r>
        <w:t xml:space="preserve">Sensitivity counts residents, not workers or visitors; the all-places view covers non-residential areas but without any people term.</w:t>
      </w:r>
    </w:p>
    <w:p>
      <w:pPr>
        <w:pStyle w:val="Heading1"/>
      </w:pPr>
      <w:r>
        <w:t xml:space="preserve">Sources</w:t>
      </w:r>
    </w:p>
    <w:p>
      <w:r>
        <w:t xml:space="preserve">Score: scripts/build_priority_score.py, src/priority_score/. Bands and noise floor: scripts/build_priority_score_confidence_bands.py, validation/score_validation/confidence_bands.py, decision_impact.py. Evaluation: scripts/evaluate_priority_score.py, validation/score_validation/score_evaluation.py, sensitivity_specs.py, rank_impact.py, landcover_impact.py (outputs in data/processed/ and data/processed/diagnostics/priority_*.csv).</w:t>
      </w:r>
    </w:p>
    <w:sectPr w:rsidR="007606BC">
      <w:pgSz w:w="11906" w:h="16838"/>
      <w:pgMar w:top="1000" w:right="1000" w:bottom="1000" w:left="10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7606BC"/>
    <w:rsid w:val="005B3AFC"/>
    <w:rsid w:val="007606BC"/>
    <w:rsid w:val="00D9691E"/>
  </w:rsids>
  <m:mathPr>
    <m:mathFont m:val="Cambria Math"/>
    <m:brkBin m:val="before"/>
    <m:brkBinSub m:val="--"/>
    <m:smallFrac m:val="0"/>
    <m:dispDef/>
    <m:lMargin m:val="0"/>
    <m:rMargin m:val="0"/>
    <m:defJc m:val="centerGroup"/>
    <m:wrapIndent m:val="1440"/>
    <m:intLim m:val="subSup"/>
    <m:naryLim m:val="undOvr"/>
  </m:mathPr>
  <w:themeFontLang w:val="en-SG"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4514C7"/>
  <w15:docId w15:val="{66D76960-5DC6-4545-898F-CD73969C3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sz w:val="22"/>
        <w:lang w:val="en-SG" w:eastAsia="zh-CN"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240"/>
      <w:outlineLvl w:val="0"/>
    </w:pPr>
    <w:rPr>
      <w:b/>
      <w:color w:val="17365D"/>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b/>
      <w:color w:val="17365D"/>
      <w:sz w:val="38"/>
    </w:rPr>
  </w:style>
  <w:style w:type="paragraph" w:styleId="Subtitle">
    <w:name w:val="Subtitle"/>
    <w:uiPriority w:val="11"/>
    <w:qFormat/>
    <w:rPr>
      <w:color w:val="64748B"/>
    </w:rPr>
  </w:style>
  <w:style w:type="paragraph" w:styleId="Heading2">
    <w:name w:val="heading 2"/>
    <w:basedOn w:val="Normal"/>
    <w:next w:val="Normal"/>
    <w:uiPriority w:val="9"/>
    <w:unhideWhenUsed/>
    <w:qFormat/>
    <w:pPr>
      <w:keepNext/>
      <w:spacing w:before="200"/>
      <w:outlineLvl w:val="1"/>
    </w:pPr>
    <w:rPr>
      <w:b/>
      <w:color w:val="17365D"/>
      <w:sz w:val="24"/>
    </w:rPr>
  </w:style>
  <w:style w:type="paragraph" w:styleId="Heading3">
    <w:name w:val="heading 3"/>
    <w:basedOn w:val="Normal"/>
    <w:next w:val="Normal"/>
    <w:uiPriority w:val="9"/>
    <w:unhideWhenUsed/>
    <w:qFormat/>
    <w:pPr>
      <w:keepNext/>
      <w:spacing w:before="160"/>
      <w:outlineLvl w:val="2"/>
    </w:pPr>
    <w:rPr>
      <w:b/>
      <w:color w:val="334155"/>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933</Words>
  <Characters>5322</Characters>
  <Application>Microsoft Office Word</Application>
  <DocSecurity>0</DocSecurity>
  <Lines>44</Lines>
  <Paragraphs>12</Paragraphs>
  <ScaleCrop>false</ScaleCrop>
  <Company/>
  <LinksUpToDate>false</LinksUpToDate>
  <CharactersWithSpaces>6243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Cooling-priority Score Evaluation and Ablation Tests</dc:title>
  <cp:lastModifiedBy>Kin Xing</cp:lastModifiedBy>
  <cp:revision>2</cp:revision>
  <dcterms:created xsi:type="dcterms:W3CDTF">2026-09-29T17:28:00Z</dcterms:created>
  <dcterms:modified xsi:type="dcterms:W3CDTF">2026-09-29T17:30:00Z</dcterms:modified>
</cp:coreProperties>
</file>