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Downscaling Evaluation and Ablation Tests</w:t>
      </w:r>
    </w:p>
    <w:p>
      <w:pPr>
        <w:pStyle w:val="Subtitle"/>
      </w:pPr>
      <w:r>
        <w:t xml:space="preserve">Landsat 30 m, bicubic 10 m and regression 10 m heat layers | 5 October 2026</w:t>
      </w:r>
    </w:p>
    <w:p>
      <w:pPr>
        <w:pStyle w:val="Heading1"/>
      </w:pPr>
      <w:r>
        <w:t xml:space="preserve">Summary</w:t>
      </w:r>
    </w:p>
    <w:p>
      <w:r>
        <w:t xml:space="preserve">The project builds three heat layers from the same Landsat land surface temperature composite: the 30 m Landsat layer itself, a 10 m layer made by bicubic interpolation, and a 10 m layer made by regression downscaling with Sentinel-2 indices (a TsHARP-style method). The 30 m layer is the reference used by the priority score.</w:t>
      </w:r>
    </w:p>
    <w:p>
      <w:r>
        <w:t xml:space="preserve">At subzone level the three layers are practically identical, so they agree equally with independent MODIS temperature, and swapping them in the priority score changes 0 of the top-20 subzones, against a measurement-noise floor of 10.9. A coarsen-and-recover test, which scores each method against real Landsat temperature at a known finer scale, found that the regression method does not reconstruct fine-scale temperature more accurately than bicubic interpolation (RMSE +0.10 °C at the 360 m to 120 m step), although it preserves the hottest and coolest pixels better. The 10 m regression layer is therefore not evidence of more accurate fine-scale heat, and the choice of heat layer does not change planning priorities.</w:t>
      </w:r>
    </w:p>
    <w:p>
      <w:pPr>
        <w:pStyle w:val="Heading1"/>
      </w:pPr>
      <w:r>
        <w:t xml:space="preserve">1. Purpose and setup</w:t>
      </w:r>
    </w:p>
    <w:p>
      <w:r>
        <w:t xml:space="preserve">Downscaling is meant to give a sharper heat map than Landsat's 30 m product by borrowing spatial detail from 10 m Sentinel-2 imagery. Its evaluation must show two things: whether the extra detail is accurate, and whether it changes which subzones are prioritised.</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600"/>
        <w:gridCol w:w="7300"/>
      </w:tblGrid>
      <w:tr>
        <w:trPr>
          <w:tblHeader/>
        </w:trPr>
        <w:tc>
          <w:tcPr>
            <w:tcW w:w="2600" w:type="dxa"/>
            <w:shd w:val="clear" w:color="auto" w:fill="E2E8F0"/>
          </w:tcPr>
          <w:p>
            <w:r>
              <w:t xml:space="preserve">Item</w:t>
            </w:r>
          </w:p>
        </w:tc>
        <w:tc>
          <w:tcPr>
            <w:tcW w:w="7300" w:type="dxa"/>
            <w:shd w:val="clear" w:color="auto" w:fill="E2E8F0"/>
          </w:tcPr>
          <w:p>
            <w:r>
              <w:t xml:space="preserve">Setting</w:t>
            </w:r>
          </w:p>
        </w:tc>
      </w:tr>
      <w:tr>
        <w:trPr>
          <w:cantSplit/>
        </w:trPr>
        <w:tc>
          <w:tcPr>
            <w:tcW w:w="2600" w:type="dxa"/>
          </w:tcPr>
          <w:p>
            <w:r>
              <w:t xml:space="preserve">Heat composite</w:t>
            </w:r>
          </w:p>
        </w:tc>
        <w:tc>
          <w:tcPr>
            <w:tcW w:w="7300" w:type="dxa"/>
          </w:tcPr>
          <w:p>
            <w:r>
              <w:t xml:space="preserve">Landsat 8 and 9 surface temperature, median of the inter-monsoon months (April, May, October, November) from 2021 to June 2026, scenes under 70% cloud.</w:t>
            </w:r>
          </w:p>
        </w:tc>
      </w:tr>
      <w:tr>
        <w:trPr>
          <w:cantSplit/>
        </w:trPr>
        <w:tc>
          <w:tcPr>
            <w:tcW w:w="2600" w:type="dxa"/>
          </w:tcPr>
          <w:p>
            <w:r>
              <w:t xml:space="preserve">Regression method</w:t>
            </w:r>
          </w:p>
        </w:tc>
        <w:tc>
          <w:tcPr>
            <w:tcW w:w="7300" w:type="dxa"/>
          </w:tcPr>
          <w:p>
            <w:r>
              <w:t xml:space="preserve">Temperature at 30 m regressed on Sentinel-2 NDVI, NDBI and NDWI (aggregated to 30 m), applied at 10 m, plus the 30 m residual resampled bilinearly. The residual step approximately keeps each 30 m block's mean temperature.</w:t>
            </w:r>
          </w:p>
        </w:tc>
      </w:tr>
      <w:tr>
        <w:trPr>
          <w:cantSplit/>
        </w:trPr>
        <w:tc>
          <w:tcPr>
            <w:tcW w:w="2600" w:type="dxa"/>
          </w:tcPr>
          <w:p>
            <w:r>
              <w:t xml:space="preserve">Independent references</w:t>
            </w:r>
          </w:p>
        </w:tc>
        <w:tc>
          <w:tcPr>
            <w:tcW w:w="7300" w:type="dxa"/>
          </w:tcPr>
          <w:p>
            <w:r>
              <w:t xml:space="preserve">MODIS land surface temperature at 1 km (329 subzones) and NEA weather-station air temperature (12 subzones).</w:t>
            </w:r>
          </w:p>
        </w:tc>
      </w:tr>
      <w:tr>
        <w:trPr>
          <w:cantSplit/>
        </w:trPr>
        <w:tc>
          <w:tcPr>
            <w:tcW w:w="2600" w:type="dxa"/>
          </w:tcPr>
          <w:p>
            <w:r>
              <w:t xml:space="preserve">Production version</w:t>
            </w:r>
          </w:p>
        </w:tc>
        <w:tc>
          <w:tcPr>
            <w:tcW w:w="7300" w:type="dxa"/>
          </w:tcPr>
          <w:p>
            <w:r>
              <w:t xml:space="preserve">Heat layers from data/interim/heat_variants_subzone.csv. The priority score is rebuilt on the production land-cover map (U-Net, SHA-256 dc33f409…).</w:t>
            </w:r>
          </w:p>
        </w:tc>
      </w:tr>
      <w:tr>
        <w:trPr>
          <w:cantSplit/>
        </w:trPr>
        <w:tc>
          <w:tcPr>
            <w:tcW w:w="2600" w:type="dxa"/>
          </w:tcPr>
          <w:p>
            <w:r>
              <w:t xml:space="preserve">Statistical method</w:t>
            </w:r>
          </w:p>
        </w:tc>
        <w:tc>
          <w:tcPr>
            <w:tcW w:w="7300" w:type="dxa"/>
          </w:tcPr>
          <w:p>
            <w:r>
              <w:t xml:space="preserve">Spearman rank correlation; RMSE differences with 95% intervals from a spatial block bootstrap (1 km blocks, 2,000 resamples).</w:t>
            </w:r>
          </w:p>
        </w:tc>
      </w:tr>
    </w:tbl>
    <w:p/>
    <w:p>
      <w:pPr>
        <w:pStyle w:val="Heading1"/>
      </w:pPr>
      <w:r>
        <w:t xml:space="preserve">2. Evaluation: agreement with independent temperature</w:t>
      </w:r>
    </w:p>
    <w:p>
      <w:r>
        <w:t xml:space="preserve">Each layer's subzone means are compared with MODIS and NEA. The disagreement is split into a constant offset (which cannot change a ranking, because the score rescales temperature), the spread left after removing the offset, and rank agreement.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300"/>
        <w:gridCol w:w="2900"/>
        <w:gridCol w:w="1300"/>
        <w:gridCol w:w="1500"/>
        <w:gridCol w:w="1400"/>
        <w:gridCol w:w="1500"/>
      </w:tblGrid>
      <w:tr>
        <w:trPr>
          <w:tblHeader/>
        </w:trPr>
        <w:tc>
          <w:tcPr>
            <w:tcW w:w="1300" w:type="dxa"/>
            <w:shd w:val="clear" w:color="auto" w:fill="E2E8F0"/>
          </w:tcPr>
          <w:p>
            <w:r>
              <w:t xml:space="preserve">Reference</w:t>
            </w:r>
          </w:p>
        </w:tc>
        <w:tc>
          <w:tcPr>
            <w:tcW w:w="2900" w:type="dxa"/>
            <w:shd w:val="clear" w:color="auto" w:fill="E2E8F0"/>
          </w:tcPr>
          <w:p>
            <w:r>
              <w:t xml:space="preserve">Heat layer</w:t>
            </w:r>
          </w:p>
        </w:tc>
        <w:tc>
          <w:tcPr>
            <w:tcW w:w="1300" w:type="dxa"/>
            <w:shd w:val="clear" w:color="auto" w:fill="E2E8F0"/>
          </w:tcPr>
          <w:p>
            <w:r>
              <w:t xml:space="preserve">Subzones</w:t>
            </w:r>
          </w:p>
        </w:tc>
        <w:tc>
          <w:tcPr>
            <w:tcW w:w="1500" w:type="dxa"/>
            <w:shd w:val="clear" w:color="auto" w:fill="E2E8F0"/>
          </w:tcPr>
          <w:p>
            <w:r>
              <w:t xml:space="preserve">Offset (°C)</w:t>
            </w:r>
          </w:p>
        </w:tc>
        <w:tc>
          <w:tcPr>
            <w:tcW w:w="1400" w:type="dxa"/>
            <w:shd w:val="clear" w:color="auto" w:fill="E2E8F0"/>
          </w:tcPr>
          <w:p>
            <w:r>
              <w:t xml:space="preserve">Spread (°C)</w:t>
            </w:r>
          </w:p>
        </w:tc>
        <w:tc>
          <w:tcPr>
            <w:tcW w:w="1500" w:type="dxa"/>
            <w:shd w:val="clear" w:color="auto" w:fill="E2E8F0"/>
          </w:tcPr>
          <w:p>
            <w:r>
              <w:t xml:space="preserve">Spearman</w:t>
            </w:r>
          </w:p>
        </w:tc>
      </w:tr>
      <w:tr>
        <w:trPr>
          <w:cantSplit/>
        </w:trPr>
        <w:tc>
          <w:tcPr>
            <w:tcW w:w="1300" w:type="dxa"/>
          </w:tcPr>
          <w:p>
            <w:r>
              <w:t xml:space="preserve">MODIS</w:t>
            </w:r>
          </w:p>
        </w:tc>
        <w:tc>
          <w:tcPr>
            <w:tcW w:w="2900" w:type="dxa"/>
          </w:tcPr>
          <w:p>
            <w:r>
              <w:t xml:space="preserve">Landsat 30 m (reference)</w:t>
            </w:r>
          </w:p>
        </w:tc>
        <w:tc>
          <w:tcPr>
            <w:tcW w:w="1300" w:type="dxa"/>
          </w:tcPr>
          <w:p>
            <w:r>
              <w:t xml:space="preserve">329</w:t>
            </w:r>
          </w:p>
        </w:tc>
        <w:tc>
          <w:tcPr>
            <w:tcW w:w="1500" w:type="dxa"/>
          </w:tcPr>
          <w:p>
            <w:r>
              <w:t xml:space="preserve">+6.13</w:t>
            </w:r>
          </w:p>
        </w:tc>
        <w:tc>
          <w:tcPr>
            <w:tcW w:w="1400" w:type="dxa"/>
          </w:tcPr>
          <w:p>
            <w:r>
              <w:t xml:space="preserve">2.17</w:t>
            </w:r>
          </w:p>
        </w:tc>
        <w:tc>
          <w:tcPr>
            <w:tcW w:w="1500" w:type="dxa"/>
          </w:tcPr>
          <w:p>
            <w:r>
              <w:t xml:space="preserve">0.443</w:t>
            </w:r>
          </w:p>
        </w:tc>
      </w:tr>
      <w:tr>
        <w:trPr>
          <w:cantSplit/>
        </w:trPr>
        <w:tc>
          <w:tcPr>
            <w:tcW w:w="1300" w:type="dxa"/>
          </w:tcPr>
          <w:p>
            <w:r>
              <w:t xml:space="preserve">MODIS</w:t>
            </w:r>
          </w:p>
        </w:tc>
        <w:tc>
          <w:tcPr>
            <w:tcW w:w="2900" w:type="dxa"/>
          </w:tcPr>
          <w:p>
            <w:r>
              <w:t xml:space="preserve">Bicubic 10 m</w:t>
            </w:r>
          </w:p>
        </w:tc>
        <w:tc>
          <w:tcPr>
            <w:tcW w:w="1300" w:type="dxa"/>
          </w:tcPr>
          <w:p>
            <w:r>
              <w:t xml:space="preserve">329</w:t>
            </w:r>
          </w:p>
        </w:tc>
        <w:tc>
          <w:tcPr>
            <w:tcW w:w="1500" w:type="dxa"/>
          </w:tcPr>
          <w:p>
            <w:r>
              <w:t xml:space="preserve">+6.13</w:t>
            </w:r>
          </w:p>
        </w:tc>
        <w:tc>
          <w:tcPr>
            <w:tcW w:w="1400" w:type="dxa"/>
          </w:tcPr>
          <w:p>
            <w:r>
              <w:t xml:space="preserve">2.18</w:t>
            </w:r>
          </w:p>
        </w:tc>
        <w:tc>
          <w:tcPr>
            <w:tcW w:w="1500" w:type="dxa"/>
          </w:tcPr>
          <w:p>
            <w:r>
              <w:t xml:space="preserve">0.443</w:t>
            </w:r>
          </w:p>
        </w:tc>
      </w:tr>
      <w:tr>
        <w:trPr>
          <w:cantSplit/>
        </w:trPr>
        <w:tc>
          <w:tcPr>
            <w:tcW w:w="1300" w:type="dxa"/>
          </w:tcPr>
          <w:p>
            <w:r>
              <w:t xml:space="preserve">MODIS</w:t>
            </w:r>
          </w:p>
        </w:tc>
        <w:tc>
          <w:tcPr>
            <w:tcW w:w="2900" w:type="dxa"/>
          </w:tcPr>
          <w:p>
            <w:r>
              <w:t xml:space="preserve">Regression 10 m</w:t>
            </w:r>
          </w:p>
        </w:tc>
        <w:tc>
          <w:tcPr>
            <w:tcW w:w="1300" w:type="dxa"/>
          </w:tcPr>
          <w:p>
            <w:r>
              <w:t xml:space="preserve">329</w:t>
            </w:r>
          </w:p>
        </w:tc>
        <w:tc>
          <w:tcPr>
            <w:tcW w:w="1500" w:type="dxa"/>
          </w:tcPr>
          <w:p>
            <w:r>
              <w:t xml:space="preserve">+6.14</w:t>
            </w:r>
          </w:p>
        </w:tc>
        <w:tc>
          <w:tcPr>
            <w:tcW w:w="1400" w:type="dxa"/>
          </w:tcPr>
          <w:p>
            <w:r>
              <w:t xml:space="preserve">2.17</w:t>
            </w:r>
          </w:p>
        </w:tc>
        <w:tc>
          <w:tcPr>
            <w:tcW w:w="1500" w:type="dxa"/>
          </w:tcPr>
          <w:p>
            <w:r>
              <w:t xml:space="preserve">0.443</w:t>
            </w:r>
          </w:p>
        </w:tc>
      </w:tr>
      <w:tr>
        <w:trPr>
          <w:cantSplit/>
        </w:trPr>
        <w:tc>
          <w:tcPr>
            <w:tcW w:w="1300" w:type="dxa"/>
          </w:tcPr>
          <w:p>
            <w:r>
              <w:t xml:space="preserve">NEA</w:t>
            </w:r>
          </w:p>
        </w:tc>
        <w:tc>
          <w:tcPr>
            <w:tcW w:w="2900" w:type="dxa"/>
          </w:tcPr>
          <w:p>
            <w:r>
              <w:t xml:space="preserve">Landsat 30 m (reference)</w:t>
            </w:r>
          </w:p>
        </w:tc>
        <w:tc>
          <w:tcPr>
            <w:tcW w:w="1300" w:type="dxa"/>
          </w:tcPr>
          <w:p>
            <w:r>
              <w:t xml:space="preserve">12</w:t>
            </w:r>
          </w:p>
        </w:tc>
        <w:tc>
          <w:tcPr>
            <w:tcW w:w="1500" w:type="dxa"/>
          </w:tcPr>
          <w:p>
            <w:r>
              <w:t xml:space="preserve">+11.38</w:t>
            </w:r>
          </w:p>
        </w:tc>
        <w:tc>
          <w:tcPr>
            <w:tcW w:w="1400" w:type="dxa"/>
          </w:tcPr>
          <w:p>
            <w:r>
              <w:t xml:space="preserve">2.55</w:t>
            </w:r>
          </w:p>
        </w:tc>
        <w:tc>
          <w:tcPr>
            <w:tcW w:w="1500" w:type="dxa"/>
          </w:tcPr>
          <w:p>
            <w:r>
              <w:t xml:space="preserve">0.371</w:t>
            </w:r>
          </w:p>
        </w:tc>
      </w:tr>
      <w:tr>
        <w:trPr>
          <w:cantSplit/>
        </w:trPr>
        <w:tc>
          <w:tcPr>
            <w:tcW w:w="1300" w:type="dxa"/>
          </w:tcPr>
          <w:p>
            <w:r>
              <w:t xml:space="preserve">NEA</w:t>
            </w:r>
          </w:p>
        </w:tc>
        <w:tc>
          <w:tcPr>
            <w:tcW w:w="2900" w:type="dxa"/>
          </w:tcPr>
          <w:p>
            <w:r>
              <w:t xml:space="preserve">Bicubic 10 m</w:t>
            </w:r>
          </w:p>
        </w:tc>
        <w:tc>
          <w:tcPr>
            <w:tcW w:w="1300" w:type="dxa"/>
          </w:tcPr>
          <w:p>
            <w:r>
              <w:t xml:space="preserve">12</w:t>
            </w:r>
          </w:p>
        </w:tc>
        <w:tc>
          <w:tcPr>
            <w:tcW w:w="1500" w:type="dxa"/>
          </w:tcPr>
          <w:p>
            <w:r>
              <w:t xml:space="preserve">+11.38</w:t>
            </w:r>
          </w:p>
        </w:tc>
        <w:tc>
          <w:tcPr>
            <w:tcW w:w="1400" w:type="dxa"/>
          </w:tcPr>
          <w:p>
            <w:r>
              <w:t xml:space="preserve">2.55</w:t>
            </w:r>
          </w:p>
        </w:tc>
        <w:tc>
          <w:tcPr>
            <w:tcW w:w="1500" w:type="dxa"/>
          </w:tcPr>
          <w:p>
            <w:r>
              <w:t xml:space="preserve">0.371</w:t>
            </w:r>
          </w:p>
        </w:tc>
      </w:tr>
      <w:tr>
        <w:trPr>
          <w:cantSplit/>
        </w:trPr>
        <w:tc>
          <w:tcPr>
            <w:tcW w:w="1300" w:type="dxa"/>
          </w:tcPr>
          <w:p>
            <w:r>
              <w:t xml:space="preserve">NEA</w:t>
            </w:r>
          </w:p>
        </w:tc>
        <w:tc>
          <w:tcPr>
            <w:tcW w:w="2900" w:type="dxa"/>
          </w:tcPr>
          <w:p>
            <w:r>
              <w:t xml:space="preserve">Regression 10 m</w:t>
            </w:r>
          </w:p>
        </w:tc>
        <w:tc>
          <w:tcPr>
            <w:tcW w:w="1300" w:type="dxa"/>
          </w:tcPr>
          <w:p>
            <w:r>
              <w:t xml:space="preserve">12</w:t>
            </w:r>
          </w:p>
        </w:tc>
        <w:tc>
          <w:tcPr>
            <w:tcW w:w="1500" w:type="dxa"/>
          </w:tcPr>
          <w:p>
            <w:r>
              <w:t xml:space="preserve">+11.39</w:t>
            </w:r>
          </w:p>
        </w:tc>
        <w:tc>
          <w:tcPr>
            <w:tcW w:w="1400" w:type="dxa"/>
          </w:tcPr>
          <w:p>
            <w:r>
              <w:t xml:space="preserve">2.55</w:t>
            </w:r>
          </w:p>
        </w:tc>
        <w:tc>
          <w:tcPr>
            <w:tcW w:w="1500" w:type="dxa"/>
          </w:tcPr>
          <w:p>
            <w:r>
              <w:t xml:space="preserve">0.371</w:t>
            </w:r>
          </w:p>
        </w:tc>
      </w:tr>
    </w:tbl>
    <w:p/>
    <w:p>
      <w:r>
        <w:t xml:space="preserve">Landsat reads hotter than both references, as expected: MODIS measures at 1 km, and NEA stations measure air temperature, not surface temperature. Rank agreement with MODIS is moderate. NEA covers too few subzones to support a conclusion and is shown for context. The three layers are indistinguishable on every measure.</w:t>
      </w:r>
    </w:p>
    <w:p>
      <w:pPr>
        <w:pStyle w:val="Heading1"/>
      </w:pPr>
      <w:r>
        <w:t xml:space="preserve">3. Evaluation: downscaling skill (coarsen-and-recover)</w:t>
      </w:r>
    </w:p>
    <w:p>
      <w:r>
        <w:t xml:space="preserve">There is no 10 m temperature ground truth. The standard workaround is to run the method one step coarser, where truth exists: aggregate the Landsat temperature to a coarse scale, rebuild a three-times finer scale with each method, and compare with the real Landsat temperature at that finer scale. Two scale pairs were tested. The 90 m to 30 m pair repeats the production step's factor of three. The 360 m to 120 m pair sits above Landsat's thermal sensor resolution (about 100 m; the 30 m product is resampled from it), so its reference holds detail the sensor really measured. The 90 m to 30 m reference is partly interpolated itself, which favours interpolation methods; the 360 m to 120 m pair is the fairer test.</w:t>
      </w:r>
    </w:p>
    <w:p>
      <w:r>
        <w:rPr>
          <w:b/>
        </w:rPr>
        <w:t xml:space="preserve">360 m to 120 m (fairer test): </w:t>
      </w:r>
      <w:r>
        <w:t xml:space="preserve">49,400 land pixels.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100"/>
        <w:gridCol w:w="1200"/>
        <w:gridCol w:w="1000"/>
        <w:gridCol w:w="1300"/>
        <w:gridCol w:w="1700"/>
        <w:gridCol w:w="1600"/>
      </w:tblGrid>
      <w:tr>
        <w:trPr>
          <w:tblHeader/>
        </w:trPr>
        <w:tc>
          <w:tcPr>
            <w:tcW w:w="3100" w:type="dxa"/>
            <w:shd w:val="clear" w:color="auto" w:fill="E2E8F0"/>
          </w:tcPr>
          <w:p>
            <w:r>
              <w:t xml:space="preserve">Method</w:t>
            </w:r>
          </w:p>
        </w:tc>
        <w:tc>
          <w:tcPr>
            <w:tcW w:w="1200" w:type="dxa"/>
            <w:shd w:val="clear" w:color="auto" w:fill="E2E8F0"/>
          </w:tcPr>
          <w:p>
            <w:r>
              <w:t xml:space="preserve">RMSE (°C)</w:t>
            </w:r>
          </w:p>
        </w:tc>
        <w:tc>
          <w:tcPr>
            <w:tcW w:w="1000" w:type="dxa"/>
            <w:shd w:val="clear" w:color="auto" w:fill="E2E8F0"/>
          </w:tcPr>
          <w:p>
            <w:r>
              <w:t xml:space="preserve">R²</w:t>
            </w:r>
          </w:p>
        </w:tc>
        <w:tc>
          <w:tcPr>
            <w:tcW w:w="1300" w:type="dxa"/>
            <w:shd w:val="clear" w:color="auto" w:fill="E2E8F0"/>
          </w:tcPr>
          <w:p>
            <w:r>
              <w:t xml:space="preserve">Spread ratio</w:t>
            </w:r>
          </w:p>
        </w:tc>
        <w:tc>
          <w:tcPr>
            <w:tcW w:w="1700" w:type="dxa"/>
            <w:shd w:val="clear" w:color="auto" w:fill="E2E8F0"/>
          </w:tcPr>
          <w:p>
            <w:r>
              <w:t xml:space="preserve">Hottest 10% error (°C)</w:t>
            </w:r>
          </w:p>
        </w:tc>
        <w:tc>
          <w:tcPr>
            <w:tcW w:w="1600" w:type="dxa"/>
            <w:shd w:val="clear" w:color="auto" w:fill="E2E8F0"/>
          </w:tcPr>
          <w:p>
            <w:r>
              <w:t xml:space="preserve">Coolest 10% error (°C)</w:t>
            </w:r>
          </w:p>
        </w:tc>
      </w:tr>
      <w:tr>
        <w:trPr>
          <w:cantSplit/>
        </w:trPr>
        <w:tc>
          <w:tcPr>
            <w:tcW w:w="3100" w:type="dxa"/>
          </w:tcPr>
          <w:p>
            <w:r>
              <w:t xml:space="preserve">Nearest (copy coarse value)</w:t>
            </w:r>
          </w:p>
        </w:tc>
        <w:tc>
          <w:tcPr>
            <w:tcW w:w="1200" w:type="dxa"/>
          </w:tcPr>
          <w:p>
            <w:r>
              <w:t xml:space="preserve">1.51</w:t>
            </w:r>
          </w:p>
        </w:tc>
        <w:tc>
          <w:tcPr>
            <w:tcW w:w="1000" w:type="dxa"/>
          </w:tcPr>
          <w:p>
            <w:r>
              <w:t xml:space="preserve">0.874</w:t>
            </w:r>
          </w:p>
        </w:tc>
        <w:tc>
          <w:tcPr>
            <w:tcW w:w="1300" w:type="dxa"/>
          </w:tcPr>
          <w:p>
            <w:r>
              <w:t xml:space="preserve">0.95</w:t>
            </w:r>
          </w:p>
        </w:tc>
        <w:tc>
          <w:tcPr>
            <w:tcW w:w="1700" w:type="dxa"/>
          </w:tcPr>
          <w:p>
            <w:r>
              <w:t xml:space="preserve">-1.17</w:t>
            </w:r>
          </w:p>
        </w:tc>
        <w:tc>
          <w:tcPr>
            <w:tcW w:w="1600" w:type="dxa"/>
          </w:tcPr>
          <w:p>
            <w:r>
              <w:t xml:space="preserve">+0.32</w:t>
            </w:r>
          </w:p>
        </w:tc>
      </w:tr>
      <w:tr>
        <w:trPr>
          <w:cantSplit/>
        </w:trPr>
        <w:tc>
          <w:tcPr>
            <w:tcW w:w="3100" w:type="dxa"/>
          </w:tcPr>
          <w:p>
            <w:r>
              <w:t xml:space="preserve">Bilinear interpolation</w:t>
            </w:r>
          </w:p>
        </w:tc>
        <w:tc>
          <w:tcPr>
            <w:tcW w:w="1200" w:type="dxa"/>
          </w:tcPr>
          <w:p>
            <w:r>
              <w:t xml:space="preserve">1.36</w:t>
            </w:r>
          </w:p>
        </w:tc>
        <w:tc>
          <w:tcPr>
            <w:tcW w:w="1000" w:type="dxa"/>
          </w:tcPr>
          <w:p>
            <w:r>
              <w:t xml:space="preserve">0.898</w:t>
            </w:r>
          </w:p>
        </w:tc>
        <w:tc>
          <w:tcPr>
            <w:tcW w:w="1300" w:type="dxa"/>
          </w:tcPr>
          <w:p>
            <w:r>
              <w:t xml:space="preserve">0.91</w:t>
            </w:r>
          </w:p>
        </w:tc>
        <w:tc>
          <w:tcPr>
            <w:tcW w:w="1700" w:type="dxa"/>
          </w:tcPr>
          <w:p>
            <w:r>
              <w:t xml:space="preserve">-1.46</w:t>
            </w:r>
          </w:p>
        </w:tc>
        <w:tc>
          <w:tcPr>
            <w:tcW w:w="1600" w:type="dxa"/>
          </w:tcPr>
          <w:p>
            <w:r>
              <w:t xml:space="preserve">+0.42</w:t>
            </w:r>
          </w:p>
        </w:tc>
      </w:tr>
      <w:tr>
        <w:trPr>
          <w:cantSplit/>
        </w:trPr>
        <w:tc>
          <w:tcPr>
            <w:tcW w:w="3100" w:type="dxa"/>
          </w:tcPr>
          <w:p>
            <w:r>
              <w:t xml:space="preserve">Bicubic interpolation</w:t>
            </w:r>
          </w:p>
        </w:tc>
        <w:tc>
          <w:tcPr>
            <w:tcW w:w="1200" w:type="dxa"/>
          </w:tcPr>
          <w:p>
            <w:r>
              <w:t xml:space="preserve">1.21</w:t>
            </w:r>
          </w:p>
        </w:tc>
        <w:tc>
          <w:tcPr>
            <w:tcW w:w="1000" w:type="dxa"/>
          </w:tcPr>
          <w:p>
            <w:r>
              <w:t xml:space="preserve">0.919</w:t>
            </w:r>
          </w:p>
        </w:tc>
        <w:tc>
          <w:tcPr>
            <w:tcW w:w="1300" w:type="dxa"/>
          </w:tcPr>
          <w:p>
            <w:r>
              <w:t xml:space="preserve">0.94</w:t>
            </w:r>
          </w:p>
        </w:tc>
        <w:tc>
          <w:tcPr>
            <w:tcW w:w="1700" w:type="dxa"/>
          </w:tcPr>
          <w:p>
            <w:r>
              <w:t xml:space="preserve">-1.06</w:t>
            </w:r>
          </w:p>
        </w:tc>
        <w:tc>
          <w:tcPr>
            <w:tcW w:w="1600" w:type="dxa"/>
          </w:tcPr>
          <w:p>
            <w:r>
              <w:t xml:space="preserve">+0.28</w:t>
            </w:r>
          </w:p>
        </w:tc>
      </w:tr>
      <w:tr>
        <w:trPr>
          <w:cantSplit/>
        </w:trPr>
        <w:tc>
          <w:tcPr>
            <w:tcW w:w="3100" w:type="dxa"/>
          </w:tcPr>
          <w:p>
            <w:r>
              <w:t xml:space="preserve">Regression (production method)</w:t>
            </w:r>
          </w:p>
        </w:tc>
        <w:tc>
          <w:tcPr>
            <w:tcW w:w="1200" w:type="dxa"/>
          </w:tcPr>
          <w:p>
            <w:r>
              <w:t xml:space="preserve">1.31</w:t>
            </w:r>
          </w:p>
        </w:tc>
        <w:tc>
          <w:tcPr>
            <w:tcW w:w="1000" w:type="dxa"/>
          </w:tcPr>
          <w:p>
            <w:r>
              <w:t xml:space="preserve">0.905</w:t>
            </w:r>
          </w:p>
        </w:tc>
        <w:tc>
          <w:tcPr>
            <w:tcW w:w="1300" w:type="dxa"/>
          </w:tcPr>
          <w:p>
            <w:r>
              <w:t xml:space="preserve">0.99</w:t>
            </w:r>
          </w:p>
        </w:tc>
        <w:tc>
          <w:tcPr>
            <w:tcW w:w="1700" w:type="dxa"/>
          </w:tcPr>
          <w:p>
            <w:r>
              <w:t xml:space="preserve">-0.94</w:t>
            </w:r>
          </w:p>
        </w:tc>
        <w:tc>
          <w:tcPr>
            <w:tcW w:w="1600" w:type="dxa"/>
          </w:tcPr>
          <w:p>
            <w:r>
              <w:t xml:space="preserve">-0.06</w:t>
            </w:r>
          </w:p>
        </w:tc>
      </w:tr>
    </w:tbl>
    <w:p/>
    <w:p>
      <w:r>
        <w:rPr>
          <w:b/>
        </w:rPr>
        <w:t xml:space="preserve">90 m to 30 m: </w:t>
      </w:r>
      <w:r>
        <w:t xml:space="preserve">789,447 land pixels.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100"/>
        <w:gridCol w:w="1200"/>
        <w:gridCol w:w="1000"/>
        <w:gridCol w:w="1300"/>
        <w:gridCol w:w="1700"/>
        <w:gridCol w:w="1600"/>
      </w:tblGrid>
      <w:tr>
        <w:trPr>
          <w:tblHeader/>
        </w:trPr>
        <w:tc>
          <w:tcPr>
            <w:tcW w:w="3100" w:type="dxa"/>
            <w:shd w:val="clear" w:color="auto" w:fill="E2E8F0"/>
          </w:tcPr>
          <w:p>
            <w:r>
              <w:t xml:space="preserve">Method</w:t>
            </w:r>
          </w:p>
        </w:tc>
        <w:tc>
          <w:tcPr>
            <w:tcW w:w="1200" w:type="dxa"/>
            <w:shd w:val="clear" w:color="auto" w:fill="E2E8F0"/>
          </w:tcPr>
          <w:p>
            <w:r>
              <w:t xml:space="preserve">RMSE (°C)</w:t>
            </w:r>
          </w:p>
        </w:tc>
        <w:tc>
          <w:tcPr>
            <w:tcW w:w="1000" w:type="dxa"/>
            <w:shd w:val="clear" w:color="auto" w:fill="E2E8F0"/>
          </w:tcPr>
          <w:p>
            <w:r>
              <w:t xml:space="preserve">R²</w:t>
            </w:r>
          </w:p>
        </w:tc>
        <w:tc>
          <w:tcPr>
            <w:tcW w:w="1300" w:type="dxa"/>
            <w:shd w:val="clear" w:color="auto" w:fill="E2E8F0"/>
          </w:tcPr>
          <w:p>
            <w:r>
              <w:t xml:space="preserve">Spread ratio</w:t>
            </w:r>
          </w:p>
        </w:tc>
        <w:tc>
          <w:tcPr>
            <w:tcW w:w="1700" w:type="dxa"/>
            <w:shd w:val="clear" w:color="auto" w:fill="E2E8F0"/>
          </w:tcPr>
          <w:p>
            <w:r>
              <w:t xml:space="preserve">Hottest 10% error (°C)</w:t>
            </w:r>
          </w:p>
        </w:tc>
        <w:tc>
          <w:tcPr>
            <w:tcW w:w="1600" w:type="dxa"/>
            <w:shd w:val="clear" w:color="auto" w:fill="E2E8F0"/>
          </w:tcPr>
          <w:p>
            <w:r>
              <w:t xml:space="preserve">Coolest 10% error (°C)</w:t>
            </w:r>
          </w:p>
        </w:tc>
      </w:tr>
      <w:tr>
        <w:trPr>
          <w:cantSplit/>
        </w:trPr>
        <w:tc>
          <w:tcPr>
            <w:tcW w:w="3100" w:type="dxa"/>
          </w:tcPr>
          <w:p>
            <w:r>
              <w:t xml:space="preserve">Nearest (copy coarse value)</w:t>
            </w:r>
          </w:p>
        </w:tc>
        <w:tc>
          <w:tcPr>
            <w:tcW w:w="1200" w:type="dxa"/>
          </w:tcPr>
          <w:p>
            <w:r>
              <w:t xml:space="preserve">0.67</w:t>
            </w:r>
          </w:p>
        </w:tc>
        <w:tc>
          <w:tcPr>
            <w:tcW w:w="1000" w:type="dxa"/>
          </w:tcPr>
          <w:p>
            <w:r>
              <w:t xml:space="preserve">0.976</w:t>
            </w:r>
          </w:p>
        </w:tc>
        <w:tc>
          <w:tcPr>
            <w:tcW w:w="1300" w:type="dxa"/>
          </w:tcPr>
          <w:p>
            <w:r>
              <w:t xml:space="preserve">0.99</w:t>
            </w:r>
          </w:p>
        </w:tc>
        <w:tc>
          <w:tcPr>
            <w:tcW w:w="1700" w:type="dxa"/>
          </w:tcPr>
          <w:p>
            <w:r>
              <w:t xml:space="preserve">-0.24</w:t>
            </w:r>
          </w:p>
        </w:tc>
        <w:tc>
          <w:tcPr>
            <w:tcW w:w="1600" w:type="dxa"/>
          </w:tcPr>
          <w:p>
            <w:r>
              <w:t xml:space="preserve">+0.08</w:t>
            </w:r>
          </w:p>
        </w:tc>
      </w:tr>
      <w:tr>
        <w:trPr>
          <w:cantSplit/>
        </w:trPr>
        <w:tc>
          <w:tcPr>
            <w:tcW w:w="3100" w:type="dxa"/>
          </w:tcPr>
          <w:p>
            <w:r>
              <w:t xml:space="preserve">Bilinear interpolation</w:t>
            </w:r>
          </w:p>
        </w:tc>
        <w:tc>
          <w:tcPr>
            <w:tcW w:w="1200" w:type="dxa"/>
          </w:tcPr>
          <w:p>
            <w:r>
              <w:t xml:space="preserve">0.49</w:t>
            </w:r>
          </w:p>
        </w:tc>
        <w:tc>
          <w:tcPr>
            <w:tcW w:w="1000" w:type="dxa"/>
          </w:tcPr>
          <w:p>
            <w:r>
              <w:t xml:space="preserve">0.987</w:t>
            </w:r>
          </w:p>
        </w:tc>
        <w:tc>
          <w:tcPr>
            <w:tcW w:w="1300" w:type="dxa"/>
          </w:tcPr>
          <w:p>
            <w:r>
              <w:t xml:space="preserve">0.98</w:t>
            </w:r>
          </w:p>
        </w:tc>
        <w:tc>
          <w:tcPr>
            <w:tcW w:w="1700" w:type="dxa"/>
          </w:tcPr>
          <w:p>
            <w:r>
              <w:t xml:space="preserve">-0.32</w:t>
            </w:r>
          </w:p>
        </w:tc>
        <w:tc>
          <w:tcPr>
            <w:tcW w:w="1600" w:type="dxa"/>
          </w:tcPr>
          <w:p>
            <w:r>
              <w:t xml:space="preserve">+0.10</w:t>
            </w:r>
          </w:p>
        </w:tc>
      </w:tr>
      <w:tr>
        <w:trPr>
          <w:cantSplit/>
        </w:trPr>
        <w:tc>
          <w:tcPr>
            <w:tcW w:w="3100" w:type="dxa"/>
          </w:tcPr>
          <w:p>
            <w:r>
              <w:t xml:space="preserve">Bicubic interpolation</w:t>
            </w:r>
          </w:p>
        </w:tc>
        <w:tc>
          <w:tcPr>
            <w:tcW w:w="1200" w:type="dxa"/>
          </w:tcPr>
          <w:p>
            <w:r>
              <w:t xml:space="preserve">0.40</w:t>
            </w:r>
          </w:p>
        </w:tc>
        <w:tc>
          <w:tcPr>
            <w:tcW w:w="1000" w:type="dxa"/>
          </w:tcPr>
          <w:p>
            <w:r>
              <w:t xml:space="preserve">0.991</w:t>
            </w:r>
          </w:p>
        </w:tc>
        <w:tc>
          <w:tcPr>
            <w:tcW w:w="1300" w:type="dxa"/>
          </w:tcPr>
          <w:p>
            <w:r>
              <w:t xml:space="preserve">0.99</w:t>
            </w:r>
          </w:p>
        </w:tc>
        <w:tc>
          <w:tcPr>
            <w:tcW w:w="1700" w:type="dxa"/>
          </w:tcPr>
          <w:p>
            <w:r>
              <w:t xml:space="preserve">-0.17</w:t>
            </w:r>
          </w:p>
        </w:tc>
        <w:tc>
          <w:tcPr>
            <w:tcW w:w="1600" w:type="dxa"/>
          </w:tcPr>
          <w:p>
            <w:r>
              <w:t xml:space="preserve">+0.06</w:t>
            </w:r>
          </w:p>
        </w:tc>
      </w:tr>
      <w:tr>
        <w:trPr>
          <w:cantSplit/>
        </w:trPr>
        <w:tc>
          <w:tcPr>
            <w:tcW w:w="3100" w:type="dxa"/>
          </w:tcPr>
          <w:p>
            <w:r>
              <w:t xml:space="preserve">Regression (production method)</w:t>
            </w:r>
          </w:p>
        </w:tc>
        <w:tc>
          <w:tcPr>
            <w:tcW w:w="1200" w:type="dxa"/>
          </w:tcPr>
          <w:p>
            <w:r>
              <w:t xml:space="preserve">1.14</w:t>
            </w:r>
          </w:p>
        </w:tc>
        <w:tc>
          <w:tcPr>
            <w:tcW w:w="1000" w:type="dxa"/>
          </w:tcPr>
          <w:p>
            <w:r>
              <w:t xml:space="preserve">0.931</w:t>
            </w:r>
          </w:p>
        </w:tc>
        <w:tc>
          <w:tcPr>
            <w:tcW w:w="1300" w:type="dxa"/>
          </w:tcPr>
          <w:p>
            <w:r>
              <w:t xml:space="preserve">1.01</w:t>
            </w:r>
          </w:p>
        </w:tc>
        <w:tc>
          <w:tcPr>
            <w:tcW w:w="1700" w:type="dxa"/>
          </w:tcPr>
          <w:p>
            <w:r>
              <w:t xml:space="preserve">-0.25</w:t>
            </w:r>
          </w:p>
        </w:tc>
        <w:tc>
          <w:tcPr>
            <w:tcW w:w="1600" w:type="dxa"/>
          </w:tcPr>
          <w:p>
            <w:r>
              <w:t xml:space="preserve">+0.04</w:t>
            </w:r>
          </w:p>
        </w:tc>
      </w:tr>
    </w:tbl>
    <w:p/>
    <w:p>
      <w:r>
        <w:t xml:space="preserve">Spread ratio is the standard deviation of the reconstruction divided by that of the truth; below 1 means the method smooths the temperature field. A negative error in the hottest 10% of pixels means the method under-reads peak heat.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900"/>
        <w:gridCol w:w="3000"/>
        <w:gridCol w:w="3000"/>
      </w:tblGrid>
      <w:tr>
        <w:trPr>
          <w:tblHeader/>
        </w:trPr>
        <w:tc>
          <w:tcPr>
            <w:tcW w:w="3900" w:type="dxa"/>
            <w:shd w:val="clear" w:color="auto" w:fill="E2E8F0"/>
          </w:tcPr>
          <w:p>
            <w:r>
              <w:t xml:space="preserve">Comparison (RMSE difference, °C)</w:t>
            </w:r>
          </w:p>
        </w:tc>
        <w:tc>
          <w:tcPr>
            <w:tcW w:w="3000" w:type="dxa"/>
            <w:shd w:val="clear" w:color="auto" w:fill="E2E8F0"/>
          </w:tcPr>
          <w:p>
            <w:r>
              <w:t xml:space="preserve">360 m to 120 m</w:t>
            </w:r>
          </w:p>
        </w:tc>
        <w:tc>
          <w:tcPr>
            <w:tcW w:w="3000" w:type="dxa"/>
            <w:shd w:val="clear" w:color="auto" w:fill="E2E8F0"/>
          </w:tcPr>
          <w:p>
            <w:r>
              <w:t xml:space="preserve">90 m to 30 m</w:t>
            </w:r>
          </w:p>
        </w:tc>
      </w:tr>
      <w:tr>
        <w:trPr>
          <w:cantSplit/>
        </w:trPr>
        <w:tc>
          <w:tcPr>
            <w:tcW w:w="3900" w:type="dxa"/>
          </w:tcPr>
          <w:p>
            <w:r>
              <w:t xml:space="preserve">Regression minus bicubic</w:t>
            </w:r>
          </w:p>
        </w:tc>
        <w:tc>
          <w:tcPr>
            <w:tcW w:w="3000" w:type="dxa"/>
          </w:tcPr>
          <w:p>
            <w:r>
              <w:t xml:space="preserve">+0.10 (+0.07 to +0.13)</w:t>
            </w:r>
          </w:p>
        </w:tc>
        <w:tc>
          <w:tcPr>
            <w:tcW w:w="3000" w:type="dxa"/>
          </w:tcPr>
          <w:p>
            <w:r>
              <w:t xml:space="preserve">+0.74 (+0.72 to +0.76)</w:t>
            </w:r>
          </w:p>
        </w:tc>
      </w:tr>
      <w:tr>
        <w:trPr>
          <w:cantSplit/>
        </w:trPr>
        <w:tc>
          <w:tcPr>
            <w:tcW w:w="3900" w:type="dxa"/>
          </w:tcPr>
          <w:p>
            <w:r>
              <w:t xml:space="preserve">Regression minus nearest</w:t>
            </w:r>
          </w:p>
        </w:tc>
        <w:tc>
          <w:tcPr>
            <w:tcW w:w="3000" w:type="dxa"/>
          </w:tcPr>
          <w:p>
            <w:r>
              <w:t xml:space="preserve">-0.20 (-0.23 to -0.16)</w:t>
            </w:r>
          </w:p>
        </w:tc>
        <w:tc>
          <w:tcPr>
            <w:tcW w:w="3000" w:type="dxa"/>
          </w:tcPr>
          <w:p>
            <w:r>
              <w:t xml:space="preserve">+0.47 (+0.45 to +0.49)</w:t>
            </w:r>
          </w:p>
        </w:tc>
      </w:tr>
      <w:tr>
        <w:trPr>
          <w:cantSplit/>
        </w:trPr>
        <w:tc>
          <w:tcPr>
            <w:tcW w:w="3900" w:type="dxa"/>
          </w:tcPr>
          <w:p>
            <w:r>
              <w:t xml:space="preserve">Bicubic minus nearest</w:t>
            </w:r>
          </w:p>
        </w:tc>
        <w:tc>
          <w:tcPr>
            <w:tcW w:w="3000" w:type="dxa"/>
          </w:tcPr>
          <w:p>
            <w:r>
              <w:t xml:space="preserve">-0.30 (-0.32 to -0.28)</w:t>
            </w:r>
          </w:p>
        </w:tc>
        <w:tc>
          <w:tcPr>
            <w:tcW w:w="3000" w:type="dxa"/>
          </w:tcPr>
          <w:p>
            <w:r>
              <w:t xml:space="preserve">-0.27 (-0.27 to -0.26)</w:t>
            </w:r>
          </w:p>
        </w:tc>
      </w:tr>
    </w:tbl>
    <w:p/>
    <w:p>
      <w:r>
        <w:t xml:space="preserve">Bicubic interpolation is the most accurate method at both scales. The regression method beats copying the coarse value at the fairer scale but is less accurate than bicubic at both. Its strength is at the extremes: at 360 m to 120 m it keeps the full spread of temperatures (ratio 0.99 against 0.94), under-reads the hottest pixels less (-0.94 °C against -1.06 °C) and has almost no bias in the coolest pixels. Overall, the extra detail it adds is not more accurate than interpolation.</w:t>
      </w:r>
    </w:p>
    <w:p>
      <w:r>
        <w:t xml:space="preserve">Cross-check: the 90 m to 30 m pair was also run entirely in Earth Engine, with Earth Engine's own interpolation and a 20,000-pixel sample. It gave the same ordering (bicubic RMSE 0.41 °C, regression 1.26 °C).</w:t>
      </w:r>
    </w:p>
    <w:p>
      <w:pPr>
        <w:pStyle w:val="Heading1"/>
      </w:pPr>
      <w:r>
        <w:t xml:space="preserve">4. Ablations and controlled comparisons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600"/>
        <w:gridCol w:w="2400"/>
        <w:gridCol w:w="1500"/>
        <w:gridCol w:w="1500"/>
        <w:gridCol w:w="2900"/>
      </w:tblGrid>
      <w:tr>
        <w:trPr>
          <w:tblHeader/>
        </w:trPr>
        <w:tc>
          <w:tcPr>
            <w:tcW w:w="1600" w:type="dxa"/>
            <w:shd w:val="clear" w:color="auto" w:fill="E2E8F0"/>
          </w:tcPr>
          <w:p>
            <w:r>
              <w:t xml:space="preserve">Component tested</w:t>
            </w:r>
          </w:p>
        </w:tc>
        <w:tc>
          <w:tcPr>
            <w:tcW w:w="2400" w:type="dxa"/>
            <w:shd w:val="clear" w:color="auto" w:fill="E2E8F0"/>
          </w:tcPr>
          <w:p>
            <w:r>
              <w:t xml:space="preserve">Comparison</w:t>
            </w:r>
          </w:p>
        </w:tc>
        <w:tc>
          <w:tcPr>
            <w:tcW w:w="1500" w:type="dxa"/>
            <w:shd w:val="clear" w:color="auto" w:fill="E2E8F0"/>
          </w:tcPr>
          <w:p>
            <w:r>
              <w:t xml:space="preserve">360 m to 120 m</w:t>
            </w:r>
          </w:p>
        </w:tc>
        <w:tc>
          <w:tcPr>
            <w:tcW w:w="1500" w:type="dxa"/>
            <w:shd w:val="clear" w:color="auto" w:fill="E2E8F0"/>
          </w:tcPr>
          <w:p>
            <w:r>
              <w:t xml:space="preserve">90 m to 30 m</w:t>
            </w:r>
          </w:p>
        </w:tc>
        <w:tc>
          <w:tcPr>
            <w:tcW w:w="2900" w:type="dxa"/>
            <w:shd w:val="clear" w:color="auto" w:fill="E2E8F0"/>
          </w:tcPr>
          <w:p>
            <w:r>
              <w:t xml:space="preserve">Conclusion</w:t>
            </w:r>
          </w:p>
        </w:tc>
      </w:tr>
      <w:tr>
        <w:trPr>
          <w:cantSplit/>
        </w:trPr>
        <w:tc>
          <w:tcPr>
            <w:tcW w:w="1600" w:type="dxa"/>
          </w:tcPr>
          <w:p>
            <w:r>
              <w:t xml:space="preserve">Residual correction</w:t>
            </w:r>
          </w:p>
        </w:tc>
        <w:tc>
          <w:tcPr>
            <w:tcW w:w="2400" w:type="dxa"/>
          </w:tcPr>
          <w:p>
            <w:r>
              <w:t xml:space="preserve">Regression with vs without the residual step (RMSE, °C)</w:t>
            </w:r>
          </w:p>
        </w:tc>
        <w:tc>
          <w:tcPr>
            <w:tcW w:w="1500" w:type="dxa"/>
          </w:tcPr>
          <w:p>
            <w:r>
              <w:t xml:space="preserve">1.31 vs 2.83</w:t>
            </w:r>
          </w:p>
        </w:tc>
        <w:tc>
          <w:tcPr>
            <w:tcW w:w="1500" w:type="dxa"/>
          </w:tcPr>
          <w:p>
            <w:r>
              <w:t xml:space="preserve">1.14 vs 3.47</w:t>
            </w:r>
          </w:p>
        </w:tc>
        <w:tc>
          <w:tcPr>
            <w:tcW w:w="2900" w:type="dxa"/>
          </w:tcPr>
          <w:p>
            <w:r>
              <w:t xml:space="preserve">Essential. Without it, error more than doubles and the hottest pixels are under-read by about 5 °C or more.</w:t>
            </w:r>
          </w:p>
        </w:tc>
      </w:tr>
      <w:tr>
        <w:trPr>
          <w:cantSplit/>
        </w:trPr>
        <w:tc>
          <w:tcPr>
            <w:tcW w:w="1600" w:type="dxa"/>
          </w:tcPr>
          <w:p>
            <w:r>
              <w:t xml:space="preserve">Predictor set</w:t>
            </w:r>
          </w:p>
        </w:tc>
        <w:tc>
          <w:tcPr>
            <w:tcW w:w="2400" w:type="dxa"/>
          </w:tcPr>
          <w:p>
            <w:r>
              <w:t xml:space="preserve">NDVI + NDBI + NDWI vs NDVI only (RMSE, °C)</w:t>
            </w:r>
          </w:p>
        </w:tc>
        <w:tc>
          <w:tcPr>
            <w:tcW w:w="1500" w:type="dxa"/>
          </w:tcPr>
          <w:p>
            <w:r>
              <w:t xml:space="preserve">1.31 vs 1.90</w:t>
            </w:r>
          </w:p>
        </w:tc>
        <w:tc>
          <w:tcPr>
            <w:tcW w:w="1500" w:type="dxa"/>
          </w:tcPr>
          <w:p>
            <w:r>
              <w:t xml:space="preserve">1.14 vs 0.99</w:t>
            </w:r>
          </w:p>
        </w:tc>
        <w:tc>
          <w:tcPr>
            <w:tcW w:w="2900" w:type="dxa"/>
          </w:tcPr>
          <w:p>
            <w:r>
              <w:t xml:space="preserve">Inconsistent: three indices are better at 120 m, NDVI alone at 30 m. No evidence for either.</w:t>
            </w:r>
          </w:p>
        </w:tc>
      </w:tr>
      <w:tr>
        <w:trPr>
          <w:cantSplit/>
        </w:trPr>
        <w:tc>
          <w:tcPr>
            <w:tcW w:w="1600" w:type="dxa"/>
          </w:tcPr>
          <w:p>
            <w:r>
              <w:t xml:space="preserve">Interpolation kernel</w:t>
            </w:r>
          </w:p>
        </w:tc>
        <w:tc>
          <w:tcPr>
            <w:tcW w:w="2400" w:type="dxa"/>
          </w:tcPr>
          <w:p>
            <w:r>
              <w:t xml:space="preserve">Bicubic vs bilinear vs nearest (RMSE, °C)</w:t>
            </w:r>
          </w:p>
        </w:tc>
        <w:tc>
          <w:tcPr>
            <w:tcW w:w="1500" w:type="dxa"/>
          </w:tcPr>
          <w:p>
            <w:r>
              <w:t xml:space="preserve">1.21 / 1.36 / 1.51</w:t>
            </w:r>
          </w:p>
        </w:tc>
        <w:tc>
          <w:tcPr>
            <w:tcW w:w="1500" w:type="dxa"/>
          </w:tcPr>
          <w:p>
            <w:r>
              <w:t xml:space="preserve">0.40 / 0.49 / 0.67</w:t>
            </w:r>
          </w:p>
        </w:tc>
        <w:tc>
          <w:tcPr>
            <w:tcW w:w="2900" w:type="dxa"/>
          </w:tcPr>
          <w:p>
            <w:r>
              <w:t xml:space="preserve">Bicubic is the most accurate at both scales.</w:t>
            </w:r>
          </w:p>
        </w:tc>
      </w:tr>
    </w:tbl>
    <w:p/>
    <w:p>
      <w:r>
        <w:t xml:space="preserve">Subzone-level smoothing check: the largest difference between a 10 m layer's subzone mean and the 30 m mean is 0.05 °C (bicubic) and 0.21 °C (regression). In the hottest 10% of subzones the mean difference is 0.000 °C and -0.003 °C, so neither 10 m layer flattens the hottest subzones.</w:t>
      </w:r>
    </w:p>
    <w:p>
      <w:pPr>
        <w:pStyle w:val="Heading1"/>
      </w:pPr>
      <w:r>
        <w:t xml:space="preserve">5. Decision impact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000"/>
        <w:gridCol w:w="2000"/>
        <w:gridCol w:w="2600"/>
        <w:gridCol w:w="2300"/>
      </w:tblGrid>
      <w:tr>
        <w:trPr>
          <w:tblHeader/>
        </w:trPr>
        <w:tc>
          <w:tcPr>
            <w:tcW w:w="3000" w:type="dxa"/>
            <w:shd w:val="clear" w:color="auto" w:fill="E2E8F0"/>
          </w:tcPr>
          <w:p>
            <w:r>
              <w:t xml:space="preserve">Heat layer used in the score</w:t>
            </w:r>
          </w:p>
        </w:tc>
        <w:tc>
          <w:tcPr>
            <w:tcW w:w="2000" w:type="dxa"/>
            <w:shd w:val="clear" w:color="auto" w:fill="E2E8F0"/>
          </w:tcPr>
          <w:p>
            <w:r>
              <w:t xml:space="preserve">Weighting</w:t>
            </w:r>
          </w:p>
        </w:tc>
        <w:tc>
          <w:tcPr>
            <w:tcW w:w="2600" w:type="dxa"/>
            <w:shd w:val="clear" w:color="auto" w:fill="E2E8F0"/>
          </w:tcPr>
          <w:p>
            <w:r>
              <w:t xml:space="preserve">Rank correlation with reference</w:t>
            </w:r>
          </w:p>
        </w:tc>
        <w:tc>
          <w:tcPr>
            <w:tcW w:w="2300" w:type="dxa"/>
            <w:shd w:val="clear" w:color="auto" w:fill="E2E8F0"/>
          </w:tcPr>
          <w:p>
            <w:r>
              <w:t xml:space="preserve">Top-20 subzones changed</w:t>
            </w:r>
          </w:p>
        </w:tc>
      </w:tr>
      <w:tr>
        <w:trPr>
          <w:cantSplit/>
        </w:trPr>
        <w:tc>
          <w:tcPr>
            <w:tcW w:w="3000" w:type="dxa"/>
          </w:tcPr>
          <w:p>
            <w:r>
              <w:t xml:space="preserve">Bicubic 10 m</w:t>
            </w:r>
          </w:p>
        </w:tc>
        <w:tc>
          <w:tcPr>
            <w:tcW w:w="2000" w:type="dxa"/>
          </w:tcPr>
          <w:p>
            <w:r>
              <w:t xml:space="preserve">PCA weights</w:t>
            </w:r>
          </w:p>
        </w:tc>
        <w:tc>
          <w:tcPr>
            <w:tcW w:w="2600" w:type="dxa"/>
          </w:tcPr>
          <w:p>
            <w:r>
              <w:t xml:space="preserve">1.000</w:t>
            </w:r>
          </w:p>
        </w:tc>
        <w:tc>
          <w:tcPr>
            <w:tcW w:w="2300" w:type="dxa"/>
          </w:tcPr>
          <w:p>
            <w:r>
              <w:t xml:space="preserve">0</w:t>
            </w:r>
          </w:p>
        </w:tc>
      </w:tr>
      <w:tr>
        <w:trPr>
          <w:cantSplit/>
        </w:trPr>
        <w:tc>
          <w:tcPr>
            <w:tcW w:w="3000" w:type="dxa"/>
          </w:tcPr>
          <w:p>
            <w:r>
              <w:t xml:space="preserve">Bicubic 10 m</w:t>
            </w:r>
          </w:p>
        </w:tc>
        <w:tc>
          <w:tcPr>
            <w:tcW w:w="2000" w:type="dxa"/>
          </w:tcPr>
          <w:p>
            <w:r>
              <w:t xml:space="preserve">Equal weights</w:t>
            </w:r>
          </w:p>
        </w:tc>
        <w:tc>
          <w:tcPr>
            <w:tcW w:w="2600" w:type="dxa"/>
          </w:tcPr>
          <w:p>
            <w:r>
              <w:t xml:space="preserve">1.000</w:t>
            </w:r>
          </w:p>
        </w:tc>
        <w:tc>
          <w:tcPr>
            <w:tcW w:w="2300" w:type="dxa"/>
          </w:tcPr>
          <w:p>
            <w:r>
              <w:t xml:space="preserve">0</w:t>
            </w:r>
          </w:p>
        </w:tc>
      </w:tr>
      <w:tr>
        <w:trPr>
          <w:cantSplit/>
        </w:trPr>
        <w:tc>
          <w:tcPr>
            <w:tcW w:w="3000" w:type="dxa"/>
          </w:tcPr>
          <w:p>
            <w:r>
              <w:t xml:space="preserve">Regression 10 m</w:t>
            </w:r>
          </w:p>
        </w:tc>
        <w:tc>
          <w:tcPr>
            <w:tcW w:w="2000" w:type="dxa"/>
          </w:tcPr>
          <w:p>
            <w:r>
              <w:t xml:space="preserve">PCA weights</w:t>
            </w:r>
          </w:p>
        </w:tc>
        <w:tc>
          <w:tcPr>
            <w:tcW w:w="2600" w:type="dxa"/>
          </w:tcPr>
          <w:p>
            <w:r>
              <w:t xml:space="preserve">1.000</w:t>
            </w:r>
          </w:p>
        </w:tc>
        <w:tc>
          <w:tcPr>
            <w:tcW w:w="2300" w:type="dxa"/>
          </w:tcPr>
          <w:p>
            <w:r>
              <w:t xml:space="preserve">0</w:t>
            </w:r>
          </w:p>
        </w:tc>
      </w:tr>
      <w:tr>
        <w:trPr>
          <w:cantSplit/>
        </w:trPr>
        <w:tc>
          <w:tcPr>
            <w:tcW w:w="3000" w:type="dxa"/>
          </w:tcPr>
          <w:p>
            <w:r>
              <w:t xml:space="preserve">Regression 10 m</w:t>
            </w:r>
          </w:p>
        </w:tc>
        <w:tc>
          <w:tcPr>
            <w:tcW w:w="2000" w:type="dxa"/>
          </w:tcPr>
          <w:p>
            <w:r>
              <w:t xml:space="preserve">Equal weights</w:t>
            </w:r>
          </w:p>
        </w:tc>
        <w:tc>
          <w:tcPr>
            <w:tcW w:w="2600" w:type="dxa"/>
          </w:tcPr>
          <w:p>
            <w:r>
              <w:t xml:space="preserve">1.000</w:t>
            </w:r>
          </w:p>
        </w:tc>
        <w:tc>
          <w:tcPr>
            <w:tcW w:w="2300" w:type="dxa"/>
          </w:tcPr>
          <w:p>
            <w:r>
              <w:t xml:space="preserve">0</w:t>
            </w:r>
          </w:p>
        </w:tc>
      </w:tr>
    </w:tbl>
    <w:p/>
    <w:p>
      <w:r>
        <w:t xml:space="preserve">No heat layer changes the top 20, against a measurement-noise floor of 10.9 subzones. This follows from the method: the residual step approximately preserves each 30 m block's mean, so subzone averages, which are all the score uses, barely change. Higher resolution would matter only for decisions below subzone level, which this project does not rank.</w:t>
      </w:r>
    </w:p>
    <w:p>
      <w:pPr>
        <w:pStyle w:val="Heading1"/>
      </w:pPr>
      <w:r>
        <w:t xml:space="preserve">6. Exploratory analyses</w:t>
      </w:r>
    </w:p>
    <w:p>
      <w:r>
        <w:rPr>
          <w:b/>
        </w:rPr>
        <w:t xml:space="preserve">Season window. </w:t>
      </w:r>
      <w:r>
        <w:t xml:space="preserve">Landsat scenes under 70% cloud, 2021 to June 2026: April and May 29; October and November 16; both inter-monsoon periods together 45 (chosen); February to April 43; all months 138. The chosen window has the most scenes of the seasonal candidates. The scene counts were compared after the choice was made, so they describe the choice rather than test it.</w:t>
      </w:r>
    </w:p>
    <w:p>
      <w:r>
        <w:rPr>
          <w:b/>
        </w:rPr>
        <w:t xml:space="preserve">Land-only regression fit. </w:t>
      </w:r>
      <w:r>
        <w:t xml:space="preserve">The production regression is fitted over the whole bounding box, including sea. Fitting on land pixels only gives NDVI the expected negative sign but does not make the regression beat bicubic interpolation (360 m to 120 m RMSE 1.33 °C against 1.19 °C), so the sea pixels do not explain the result.</w:t>
      </w:r>
    </w:p>
    <w:p>
      <w:pPr>
        <w:pStyle w:val="Heading1"/>
      </w:pPr>
      <w:r>
        <w:t xml:space="preserve">7. Limitations</w:t>
      </w:r>
    </w:p>
    <w:p>
      <w:r>
        <w:rPr>
          <w:b/>
        </w:rPr>
        <w:t xml:space="preserve">Scale transfer. </w:t>
      </w:r>
      <w:r>
        <w:t xml:space="preserve">The skill test assumes the method behaves at 30 m to 10 m as it does one or two steps coarser. That cannot be tested without 10 m temperature data.</w:t>
      </w:r>
    </w:p>
    <w:p>
      <w:r>
        <w:rPr>
          <w:b/>
        </w:rPr>
        <w:t xml:space="preserve">Sensor resolution. </w:t>
      </w:r>
      <w:r>
        <w:t xml:space="preserve">Landsat thermal data is measured at about 100 m, so the 30 m product and both 10 m layers carry no measured temperature detail finer than that.</w:t>
      </w:r>
    </w:p>
    <w:p>
      <w:r>
        <w:rPr>
          <w:b/>
        </w:rPr>
        <w:t xml:space="preserve">Reference data. </w:t>
      </w:r>
      <w:r>
        <w:t xml:space="preserve">MODIS pixels (1 km) are larger than most subzones, so its spread is an upper bound on random error. NEA covers 12 subzones and measures air temperature.</w:t>
      </w:r>
    </w:p>
    <w:p>
      <w:r>
        <w:rPr>
          <w:b/>
        </w:rPr>
        <w:t xml:space="preserve">One composite. </w:t>
      </w:r>
      <w:r>
        <w:t xml:space="preserve">All tests use one multi-year inter-monsoon median; other seasons or single dates were not tested.</w:t>
      </w:r>
    </w:p>
    <w:p>
      <w:r>
        <w:rPr>
          <w:b/>
        </w:rPr>
        <w:t xml:space="preserve">Spatial dependence. </w:t>
      </w:r>
      <w:r>
        <w:t xml:space="preserve">The bootstrap treats 1 km blocks as independent. Errors correlated over longer distances would make the intervals somewhat too narrow; the main differences are far larger than the intervals.</w:t>
      </w:r>
    </w:p>
    <w:p>
      <w:pPr>
        <w:pStyle w:val="Heading1"/>
      </w:pPr>
      <w:r>
        <w:t xml:space="preserve">Sources</w:t>
      </w:r>
    </w:p>
    <w:p>
      <w:r>
        <w:t xml:space="preserve">Heat layers: scripts/build_heat_variants.py, src/downscaling/variants.py. Agreement: scripts/diagnose_modis_crosscheck.py. Skill test: scripts/evaluate_downscaling_skill.py, validation/input_validation/downscaling_skill.py (outputs in data/processed/diagnostics/). Decision impact and noise floor: scripts/build_priority_score.py, scripts/build_priority_score_confidence_bands.py. Season window: scripts/diagnose_season_window.py.</w:t>
      </w:r>
    </w:p>
    <w:sectPr w:rsidR="007606B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6BC"/>
    <w:rsid w:val="005B3AFC"/>
    <w:rsid w:val="007606BC"/>
    <w:rsid w:val="00D9691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14C7"/>
  <w15:docId w15:val="{66D76960-5DC6-4545-898F-CD73969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8"/>
    </w:rPr>
  </w:style>
  <w:style w:type="paragraph" w:styleId="Subtitle">
    <w:name w:val="Subtitle"/>
    <w:uiPriority w:val="11"/>
    <w:qFormat/>
    <w:rPr>
      <w:color w:val="64748B"/>
    </w:rPr>
  </w:style>
  <w:style w:type="paragraph" w:styleId="Heading2">
    <w:name w:val="heading 2"/>
    <w:basedOn w:val="Normal"/>
    <w:next w:val="Normal"/>
    <w:uiPriority w:val="9"/>
    <w:unhideWhenUsed/>
    <w:qFormat/>
    <w:pPr>
      <w:keepNext/>
      <w:spacing w:before="200"/>
      <w:outlineLvl w:val="1"/>
    </w:pPr>
    <w:rPr>
      <w:b/>
      <w:color w:val="17365D"/>
      <w:sz w:val="24"/>
    </w:rPr>
  </w:style>
  <w:style w:type="paragraph" w:styleId="Heading3">
    <w:name w:val="heading 3"/>
    <w:basedOn w:val="Normal"/>
    <w:next w:val="Normal"/>
    <w:uiPriority w:val="9"/>
    <w:unhideWhenUsed/>
    <w:qFormat/>
    <w:pPr>
      <w:keepNext/>
      <w:spacing w:before="160"/>
      <w:outlineLvl w:val="2"/>
    </w:pPr>
    <w:rPr>
      <w:b/>
      <w:color w:val="3341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Downscaling Evaluation and Ablation Tests</dc:title>
  <cp:lastModifiedBy>Kin Xing</cp:lastModifiedBy>
  <cp:revision>2</cp:revision>
  <dcterms:created xsi:type="dcterms:W3CDTF">2026-09-29T17:28:00Z</dcterms:created>
  <dcterms:modified xsi:type="dcterms:W3CDTF">2026-09-29T17:30:00Z</dcterms:modified>
</cp:coreProperties>
</file>