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Evaluation Strategy and Ablation Testing</w:t>
      </w:r>
    </w:p>
    <w:p>
      <w:pPr>
        <w:pStyle w:val="Subtitle"/>
      </w:pPr>
      <w:r>
        <w:t xml:space="preserve">Urban heat cooling-priority project | 5 October 2026</w:t>
      </w:r>
    </w:p>
    <w:p>
      <w:pPr>
        <w:pStyle w:val="Heading1"/>
      </w:pPr>
      <w:r>
        <w:t xml:space="preserve">1. Evaluation Strategy</w:t>
      </w:r>
    </w:p>
    <w:p>
      <w:pPr>
        <w:pStyle w:val="Subtitle"/>
      </w:pPr>
      <w:r>
        <w:t xml:space="preserve">Framework for the five pipeline components</w:t>
      </w:r>
    </w:p>
    <w:p>
      <w:pPr>
        <w:pStyle w:val="Heading2"/>
      </w:pPr>
      <w:r>
        <w:t xml:space="preserve">Summary</w:t>
      </w:r>
    </w:p>
    <w:p>
      <w:r>
        <w:t xml:space="preserve">The project turns satellite and census data into a ranking of URA subzones by cooling priority. It has five components: heat-map downscaling, land-cover classification, heat typology, the cooling-priority score, and scenario modelling. This chapter sets out one evaluation framework that all five component reports follow, so their results can be read side by side.</w:t>
      </w:r>
    </w:p>
    <w:p>
      <w:r>
        <w:t xml:space="preserve">Each component is assessed at two levels. The first asks how good the component is on its own: its accuracy against an independent reference, or, where no reference exists, its internal consistency and robustness. The second asks whether it matters for the output: if the component or one of its design choices is changed, does the list of the 20 highest-priority subzones change by more than measurement noise alone would change it? This second level is the project's decision-focused evaluation.</w:t>
      </w:r>
    </w:p>
    <w:p>
      <w:pPr>
        <w:pStyle w:val="Heading2"/>
      </w:pPr>
      <w:r>
        <w:t xml:space="preserve">1.1 Kinds of test</w:t>
      </w:r>
    </w:p>
    <w:p>
      <w:r>
        <w:t xml:space="preserve">Every result in the component reports is labelled as one of four kinds of test. The labels matter because they support different claims.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300"/>
        <w:gridCol w:w="4300"/>
        <w:gridCol w:w="3300"/>
      </w:tblGrid>
      <w:tr>
        <w:trPr>
          <w:tblHeader/>
        </w:trPr>
        <w:tc>
          <w:tcPr>
            <w:tcW w:w="2300" w:type="dxa"/>
            <w:shd w:val="clear" w:color="auto" w:fill="E2E8F0"/>
          </w:tcPr>
          <w:p>
            <w:r>
              <w:t xml:space="preserve">Kind of test</w:t>
            </w:r>
          </w:p>
        </w:tc>
        <w:tc>
          <w:tcPr>
            <w:tcW w:w="4300" w:type="dxa"/>
            <w:shd w:val="clear" w:color="auto" w:fill="E2E8F0"/>
          </w:tcPr>
          <w:p>
            <w:r>
              <w:t xml:space="preserve">What it does</w:t>
            </w:r>
          </w:p>
        </w:tc>
        <w:tc>
          <w:tcPr>
            <w:tcW w:w="3300" w:type="dxa"/>
            <w:shd w:val="clear" w:color="auto" w:fill="E2E8F0"/>
          </w:tcPr>
          <w:p>
            <w:r>
              <w:t xml:space="preserve">What it can support</w:t>
            </w:r>
          </w:p>
        </w:tc>
      </w:tr>
      <w:tr>
        <w:trPr>
          <w:cantSplit/>
        </w:trPr>
        <w:tc>
          <w:tcPr>
            <w:tcW w:w="2300" w:type="dxa"/>
          </w:tcPr>
          <w:p>
            <w:r>
              <w:t xml:space="preserve">Evaluation</w:t>
            </w:r>
          </w:p>
        </w:tc>
        <w:tc>
          <w:tcPr>
            <w:tcW w:w="4300" w:type="dxa"/>
          </w:tcPr>
          <w:p>
            <w:r>
              <w:t xml:space="preserve">Scores a final component against a reference it was not built from.</w:t>
            </w:r>
          </w:p>
        </w:tc>
        <w:tc>
          <w:tcPr>
            <w:tcW w:w="3300" w:type="dxa"/>
          </w:tcPr>
          <w:p>
            <w:r>
              <w:t xml:space="preserve">How well the component performs.</w:t>
            </w:r>
          </w:p>
        </w:tc>
      </w:tr>
      <w:tr>
        <w:trPr>
          <w:cantSplit/>
        </w:trPr>
        <w:tc>
          <w:tcPr>
            <w:tcW w:w="2300" w:type="dxa"/>
          </w:tcPr>
          <w:p>
            <w:r>
              <w:t xml:space="preserve">Ablation or controlled comparison</w:t>
            </w:r>
          </w:p>
        </w:tc>
        <w:tc>
          <w:tcPr>
            <w:tcW w:w="4300" w:type="dxa"/>
          </w:tcPr>
          <w:p>
            <w:r>
              <w:t xml:space="preserve">Changes one element (a feature group, a label source, a model, a weighting) and keeps everything else fixed, then scores both versions on the same test set.</w:t>
            </w:r>
          </w:p>
        </w:tc>
        <w:tc>
          <w:tcPr>
            <w:tcW w:w="3300" w:type="dxa"/>
          </w:tcPr>
          <w:p>
            <w:r>
              <w:t xml:space="preserve">Whether that element contributes, and in which direction.</w:t>
            </w:r>
          </w:p>
        </w:tc>
      </w:tr>
      <w:tr>
        <w:trPr>
          <w:cantSplit/>
        </w:trPr>
        <w:tc>
          <w:tcPr>
            <w:tcW w:w="2300" w:type="dxa"/>
          </w:tcPr>
          <w:p>
            <w:r>
              <w:t xml:space="preserve">Decision-impact test</w:t>
            </w:r>
          </w:p>
        </w:tc>
        <w:tc>
          <w:tcPr>
            <w:tcW w:w="4300" w:type="dxa"/>
          </w:tcPr>
          <w:p>
            <w:r>
              <w:t xml:space="preserve">Rebuilds the priority score with the element changed and counts how many of the top-20 subzones change, compared with the measurement-noise floor (see the decision-impact section).</w:t>
            </w:r>
          </w:p>
        </w:tc>
        <w:tc>
          <w:tcPr>
            <w:tcW w:w="3300" w:type="dxa"/>
          </w:tcPr>
          <w:p>
            <w:r>
              <w:t xml:space="preserve">Whether the element changes planning priorities.</w:t>
            </w:r>
          </w:p>
        </w:tc>
      </w:tr>
      <w:tr>
        <w:trPr>
          <w:cantSplit/>
        </w:trPr>
        <w:tc>
          <w:tcPr>
            <w:tcW w:w="2300" w:type="dxa"/>
          </w:tcPr>
          <w:p>
            <w:r>
              <w:t xml:space="preserve">Exploratory sweep</w:t>
            </w:r>
          </w:p>
        </w:tc>
        <w:tc>
          <w:tcPr>
            <w:tcW w:w="4300" w:type="dxa"/>
          </w:tcPr>
          <w:p>
            <w:r>
              <w:t xml:space="preserve">Tries a range of settings and compares them on the same test points.</w:t>
            </w:r>
          </w:p>
        </w:tc>
        <w:tc>
          <w:tcPr>
            <w:tcW w:w="3300" w:type="dxa"/>
          </w:tcPr>
          <w:p>
            <w:r>
              <w:t xml:space="preserve">Sensitivity to a setting only. Not evidence for choosing a setting, because choosing the best score on the test points would tune the method to the test set.</w:t>
            </w:r>
          </w:p>
        </w:tc>
      </w:tr>
    </w:tbl>
    <w:p/>
    <w:p>
      <w:r>
        <w:t xml:space="preserve">Several comparisons substitute one input for another (for example, one land-cover label source for another) instead of removing a part. They are reported as controlled comparisons and follow the same one-change-at-a-time rule as ablations.</w:t>
      </w:r>
    </w:p>
    <w:p>
      <w:pPr>
        <w:pStyle w:val="Heading2"/>
      </w:pPr>
      <w:r>
        <w:t xml:space="preserve">1.2 Reference data and independence</w:t>
      </w:r>
    </w:p>
    <w:p>
      <w:r>
        <w:t xml:space="preserve">An evaluation is only meaningful against data the component did not learn from. Where no such reference exists, the reports say so and use internal-quality and robustness checks in its place.</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800"/>
        <w:gridCol w:w="3700"/>
        <w:gridCol w:w="4400"/>
      </w:tblGrid>
      <w:tr>
        <w:trPr>
          <w:tblHeader/>
        </w:trPr>
        <w:tc>
          <w:tcPr>
            <w:tcW w:w="1800" w:type="dxa"/>
            <w:shd w:val="clear" w:color="auto" w:fill="E2E8F0"/>
          </w:tcPr>
          <w:p>
            <w:r>
              <w:t xml:space="preserve">Component</w:t>
            </w:r>
          </w:p>
        </w:tc>
        <w:tc>
          <w:tcPr>
            <w:tcW w:w="3700" w:type="dxa"/>
            <w:shd w:val="clear" w:color="auto" w:fill="E2E8F0"/>
          </w:tcPr>
          <w:p>
            <w:r>
              <w:t xml:space="preserve">Reference used</w:t>
            </w:r>
          </w:p>
        </w:tc>
        <w:tc>
          <w:tcPr>
            <w:tcW w:w="4400" w:type="dxa"/>
            <w:shd w:val="clear" w:color="auto" w:fill="E2E8F0"/>
          </w:tcPr>
          <w:p>
            <w:r>
              <w:t xml:space="preserve">Independence and limits</w:t>
            </w:r>
          </w:p>
        </w:tc>
      </w:tr>
      <w:tr>
        <w:trPr>
          <w:cantSplit/>
        </w:trPr>
        <w:tc>
          <w:tcPr>
            <w:tcW w:w="1800" w:type="dxa"/>
          </w:tcPr>
          <w:p>
            <w:r>
              <w:t xml:space="preserve">Downscaling</w:t>
            </w:r>
          </w:p>
        </w:tc>
        <w:tc>
          <w:tcPr>
            <w:tcW w:w="3700" w:type="dxa"/>
          </w:tcPr>
          <w:p>
            <w:r>
              <w:t xml:space="preserve">MODIS land surface temperature (329 subzones) and NEA weather-station air temperature (12 subzones).</w:t>
            </w:r>
          </w:p>
        </w:tc>
        <w:tc>
          <w:tcPr>
            <w:tcW w:w="4400" w:type="dxa"/>
          </w:tcPr>
          <w:p>
            <w:r>
              <w:t xml:space="preserve">Different sensors from the Landsat input. NEA covers too few subzones to carry a conclusion; MODIS is the main reference. Both measure a different quantity or scale, so a constant offset is expected and is reported separately.</w:t>
            </w:r>
          </w:p>
        </w:tc>
      </w:tr>
      <w:tr>
        <w:trPr>
          <w:cantSplit/>
        </w:trPr>
        <w:tc>
          <w:tcPr>
            <w:tcW w:w="1800" w:type="dxa"/>
          </w:tcPr>
          <w:p>
            <w:r>
              <w:t xml:space="preserve">Land cover</w:t>
            </w:r>
          </w:p>
        </w:tc>
        <w:tc>
          <w:tcPr>
            <w:tcW w:w="3700" w:type="dxa"/>
          </w:tcPr>
          <w:p>
            <w:r>
              <w:t xml:space="preserve">300 points hand-labelled on high-resolution imagery.</w:t>
            </w:r>
          </w:p>
        </w:tc>
        <w:tc>
          <w:tcPr>
            <w:tcW w:w="4400" w:type="dxa"/>
          </w:tcPr>
          <w:p>
            <w:r>
              <w:t xml:space="preserve">Training excludes a 15 m buffer around every point. Two-labeller agreement on a 20-point trial: kappa 0.676. The sample was drawn by WorldCover class, so the rarer classes (bare, water) have few points.</w:t>
            </w:r>
          </w:p>
        </w:tc>
      </w:tr>
      <w:tr>
        <w:trPr>
          <w:cantSplit/>
        </w:trPr>
        <w:tc>
          <w:tcPr>
            <w:tcW w:w="1800" w:type="dxa"/>
          </w:tcPr>
          <w:p>
            <w:r>
              <w:t xml:space="preserve">Heat typology</w:t>
            </w:r>
          </w:p>
        </w:tc>
        <w:tc>
          <w:tcPr>
            <w:tcW w:w="3700" w:type="dxa"/>
          </w:tcPr>
          <w:p>
            <w:r>
              <w:t xml:space="preserve">No ground truth (unsupervised).</w:t>
            </w:r>
          </w:p>
        </w:tc>
        <w:tc>
          <w:tcPr>
            <w:tcW w:w="4400" w:type="dxa"/>
          </w:tcPr>
          <w:p>
            <w:r>
              <w:t xml:space="preserve">Internal cluster quality, plus a coherence check against land-cover fractions that were not used as clustering inputs.</w:t>
            </w:r>
          </w:p>
        </w:tc>
      </w:tr>
      <w:tr>
        <w:trPr>
          <w:cantSplit/>
        </w:trPr>
        <w:tc>
          <w:tcPr>
            <w:tcW w:w="1800" w:type="dxa"/>
          </w:tcPr>
          <w:p>
            <w:r>
              <w:t xml:space="preserve">Cooling priority</w:t>
            </w:r>
          </w:p>
        </w:tc>
        <w:tc>
          <w:tcPr>
            <w:tcW w:w="3700" w:type="dxa"/>
          </w:tcPr>
          <w:p>
            <w:r>
              <w:t xml:space="preserve">No ground truth: no record of where cooling was most needed.</w:t>
            </w:r>
          </w:p>
        </w:tc>
        <w:tc>
          <w:tcPr>
            <w:tcW w:w="4400" w:type="dxa"/>
          </w:tcPr>
          <w:p>
            <w:r>
              <w:t xml:space="preserve">Robustness to measurement noise and to method choices. Face validity against published hotspot areas is a supporting check only.</w:t>
            </w:r>
          </w:p>
        </w:tc>
      </w:tr>
      <w:tr>
        <w:trPr>
          <w:cantSplit/>
        </w:trPr>
        <w:tc>
          <w:tcPr>
            <w:tcW w:w="1800" w:type="dxa"/>
          </w:tcPr>
          <w:p>
            <w:r>
              <w:t xml:space="preserve">Scenario modelling</w:t>
            </w:r>
          </w:p>
        </w:tc>
        <w:tc>
          <w:tcPr>
            <w:tcW w:w="3700" w:type="dxa"/>
          </w:tcPr>
          <w:p>
            <w:r>
              <w:t xml:space="preserve">Held-out subzones (XGBoost) and held-out patches (CNN). No observed before-and-after greening interventions.</w:t>
            </w:r>
          </w:p>
        </w:tc>
        <w:tc>
          <w:tcPr>
            <w:tcW w:w="4400" w:type="dxa"/>
          </w:tcPr>
          <w:p>
            <w:r>
              <w:t xml:space="preserve">Prediction accuracy is testable; the effect of a hypothetical change is not. Scenario outputs are therefore checked for consistency and plausibility and reported as indicative, not as forecasts.</w:t>
            </w:r>
          </w:p>
        </w:tc>
      </w:tr>
    </w:tbl>
    <w:p/>
    <w:p>
      <w:pPr>
        <w:pStyle w:val="Heading2"/>
      </w:pPr>
      <w:r>
        <w:t xml:space="preserve">1.3 Metrics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800"/>
        <w:gridCol w:w="4300"/>
        <w:gridCol w:w="3800"/>
      </w:tblGrid>
      <w:tr>
        <w:trPr>
          <w:tblHeader/>
        </w:trPr>
        <w:tc>
          <w:tcPr>
            <w:tcW w:w="1800" w:type="dxa"/>
            <w:shd w:val="clear" w:color="auto" w:fill="E2E8F0"/>
          </w:tcPr>
          <w:p>
            <w:r>
              <w:t xml:space="preserve">Component</w:t>
            </w:r>
          </w:p>
        </w:tc>
        <w:tc>
          <w:tcPr>
            <w:tcW w:w="4300" w:type="dxa"/>
            <w:shd w:val="clear" w:color="auto" w:fill="E2E8F0"/>
          </w:tcPr>
          <w:p>
            <w:r>
              <w:t xml:space="preserve">Metrics</w:t>
            </w:r>
          </w:p>
        </w:tc>
        <w:tc>
          <w:tcPr>
            <w:tcW w:w="3800" w:type="dxa"/>
            <w:shd w:val="clear" w:color="auto" w:fill="E2E8F0"/>
          </w:tcPr>
          <w:p>
            <w:r>
              <w:t xml:space="preserve">Why these</w:t>
            </w:r>
          </w:p>
        </w:tc>
      </w:tr>
      <w:tr>
        <w:trPr>
          <w:cantSplit/>
        </w:trPr>
        <w:tc>
          <w:tcPr>
            <w:tcW w:w="1800" w:type="dxa"/>
          </w:tcPr>
          <w:p>
            <w:r>
              <w:t xml:space="preserve">Downscaling</w:t>
            </w:r>
          </w:p>
        </w:tc>
        <w:tc>
          <w:tcPr>
            <w:tcW w:w="4300" w:type="dxa"/>
          </w:tcPr>
          <w:p>
            <w:r>
              <w:t xml:space="preserve">Systematic offset, spread after removing the offset, and Spearman rank correlation, each against MODIS and NEA.</w:t>
            </w:r>
          </w:p>
        </w:tc>
        <w:tc>
          <w:tcPr>
            <w:tcW w:w="3800" w:type="dxa"/>
          </w:tcPr>
          <w:p>
            <w:r>
              <w:t xml:space="preserve">The score min-max scales temperature, so a constant offset cannot move any rank. RMSE is dominated by the offset and is not reported as accuracy.</w:t>
            </w:r>
          </w:p>
        </w:tc>
      </w:tr>
      <w:tr>
        <w:trPr>
          <w:cantSplit/>
        </w:trPr>
        <w:tc>
          <w:tcPr>
            <w:tcW w:w="1800" w:type="dxa"/>
          </w:tcPr>
          <w:p>
            <w:r>
              <w:t xml:space="preserve">Land cover</w:t>
            </w:r>
          </w:p>
        </w:tc>
        <w:tc>
          <w:tcPr>
            <w:tcW w:w="4300" w:type="dxa"/>
          </w:tcPr>
          <w:p>
            <w:r>
              <w:t xml:space="preserve">Overall accuracy with 95% bootstrap interval, macro F1, per-class precision, recall and F1, confusion matrix; a vegetation versus non-vegetation score.</w:t>
            </w:r>
          </w:p>
        </w:tc>
        <w:tc>
          <w:tcPr>
            <w:tcW w:w="3800" w:type="dxa"/>
          </w:tcPr>
          <w:p>
            <w:r>
              <w:t xml:space="preserve">Macro F1 stops the large built-up class from hiding failures on small classes. Only the vegetation share reaches the priority score, so the vegetation score shows the error that matters downstream.</w:t>
            </w:r>
          </w:p>
        </w:tc>
      </w:tr>
      <w:tr>
        <w:trPr>
          <w:cantSplit/>
        </w:trPr>
        <w:tc>
          <w:tcPr>
            <w:tcW w:w="1800" w:type="dxa"/>
          </w:tcPr>
          <w:p>
            <w:r>
              <w:t xml:space="preserve">Heat typology</w:t>
            </w:r>
          </w:p>
        </w:tc>
        <w:tc>
          <w:tcPr>
            <w:tcW w:w="4300" w:type="dxa"/>
          </w:tcPr>
          <w:p>
            <w:r>
              <w:t xml:space="preserve">Silhouette and other internal quality scores; agreement between runs with different random seeds; land-cover coherence.</w:t>
            </w:r>
          </w:p>
        </w:tc>
        <w:tc>
          <w:tcPr>
            <w:tcW w:w="3800" w:type="dxa"/>
          </w:tcPr>
          <w:p>
            <w:r>
              <w:t xml:space="preserve">Without labels, a typology is credible only if it is compact, repeatable and consistent with independent features.</w:t>
            </w:r>
          </w:p>
        </w:tc>
      </w:tr>
      <w:tr>
        <w:trPr>
          <w:cantSplit/>
        </w:trPr>
        <w:tc>
          <w:tcPr>
            <w:tcW w:w="1800" w:type="dxa"/>
          </w:tcPr>
          <w:p>
            <w:r>
              <w:t xml:space="preserve">Cooling priority</w:t>
            </w:r>
          </w:p>
        </w:tc>
        <w:tc>
          <w:tcPr>
            <w:tcW w:w="4300" w:type="dxa"/>
          </w:tcPr>
          <w:p>
            <w:r>
              <w:t xml:space="preserve">PCA weights; Spearman correlation between rankings; number of top-20 subzones changed; bootstrap bands and each subzone's probability of staying in the top 20.</w:t>
            </w:r>
          </w:p>
        </w:tc>
        <w:tc>
          <w:tcPr>
            <w:tcW w:w="3800" w:type="dxa"/>
          </w:tcPr>
          <w:p>
            <w:r>
              <w:t xml:space="preserve">The output is a ranking used to choose places, so the metrics describe the ranking, especially its top.</w:t>
            </w:r>
          </w:p>
        </w:tc>
      </w:tr>
      <w:tr>
        <w:trPr>
          <w:cantSplit/>
        </w:trPr>
        <w:tc>
          <w:tcPr>
            <w:tcW w:w="1800" w:type="dxa"/>
          </w:tcPr>
          <w:p>
            <w:r>
              <w:t xml:space="preserve">Scenario modelling</w:t>
            </w:r>
          </w:p>
        </w:tc>
        <w:tc>
          <w:tcPr>
            <w:tcW w:w="4300" w:type="dxa"/>
          </w:tcPr>
          <w:p>
            <w:r>
              <w:t xml:space="preserve">R² and RMSE on held-out data; whether XGBoost and the CNN agree on the direction of change; share of edited subzones that cool and the median change; share of edits outside the range of real subzones.</w:t>
            </w:r>
          </w:p>
        </w:tc>
        <w:tc>
          <w:tcPr>
            <w:tcW w:w="3800" w:type="dxa"/>
          </w:tcPr>
          <w:p>
            <w:r>
              <w:t xml:space="preserve">Accuracy shows the models learned the temperature pattern; agreement between two independent models and the extrapolation check show whether a what-if answer can be trusted.</w:t>
            </w:r>
          </w:p>
        </w:tc>
      </w:tr>
    </w:tbl>
    <w:p/>
    <w:p>
      <w:pPr>
        <w:pStyle w:val="Heading2"/>
      </w:pPr>
      <w:r>
        <w:t xml:space="preserve">1.4 Statistical testing</w:t>
      </w:r>
    </w:p>
    <w:p>
      <w:r>
        <w:rPr>
          <w:b/>
        </w:rPr>
        <w:t xml:space="preserve">Paired classifier comparisons. </w:t>
      </w:r>
      <w:r>
        <w:t xml:space="preserve">Two classifiers scored on the same points are compared with an exact McNemar test, which uses only the points where exactly one classifier is correct. Each comparison reports those two counts with the p-value, so the size of the difference is visible as well as its significance.</w:t>
      </w:r>
    </w:p>
    <w:p>
      <w:r>
        <w:rPr>
          <w:b/>
        </w:rPr>
        <w:t xml:space="preserve">Confidence intervals. </w:t>
      </w:r>
      <w:r>
        <w:t xml:space="preserve">Accuracy intervals come from 4,000 bootstrap resamples of the test points. Rank-based results use Spearman correlation.</w:t>
      </w:r>
    </w:p>
    <w:p>
      <w:r>
        <w:rPr>
          <w:b/>
        </w:rPr>
        <w:t xml:space="preserve">Reading the results. </w:t>
      </w:r>
      <w:r>
        <w:t xml:space="preserve">A non-significant difference does not show that two methods are equivalent; it shows the test set cannot separate them. Many comparisons reuse the same 300 points and no multiple-comparison adjustment is applied, so p-values near 0.05 are treated with caution. Classes with few test points (bare land, water) are reported but not used to rank methods.</w:t>
      </w:r>
    </w:p>
    <w:p>
      <w:pPr>
        <w:pStyle w:val="Heading2"/>
      </w:pPr>
      <w:r>
        <w:t xml:space="preserve">1.5 Decision impact and the measurement-noise floor</w:t>
      </w:r>
    </w:p>
    <w:p>
      <w:r>
        <w:t xml:space="preserve">A decision-impact test changes one choice, rebuilds the priority score with everything else fixed, and counts how many of the top-20 subzones are replaced. On its own, that count has no scale: a change of four subzones could be large or trivial. The noise floor supplies the scale.</w:t>
      </w:r>
    </w:p>
    <w:p>
      <w:r>
        <w:t xml:space="preserve">The noise floor is the number of top-20 subzones that measurement noise alone replaces, on average. It comes from a bootstrap of the priority score in which the inputs are perturbed by error sizes the project has measured, not by assumed ranges. Two noise sources are used:</w:t>
      </w:r>
    </w:p>
    <w:p>
      <w:r>
        <w:rPr>
          <w:b/>
        </w:rPr>
        <w:t xml:space="preserve">Heat exposure: </w:t>
      </w:r>
      <w:r>
        <w:t xml:space="preserve">the spread of the difference between Landsat and MODIS temperature across subzones, after removing the constant offset.</w:t>
      </w:r>
    </w:p>
    <w:p>
      <w:r>
        <w:rPr>
          <w:b/>
        </w:rPr>
        <w:t xml:space="preserve">Greenery: </w:t>
      </w:r>
      <w:r>
        <w:t xml:space="preserve">the subzone-to-subzone disagreement between the two independent greenery estimates in the pipeline (land-cover map and NDVI threshold).</w:t>
      </w:r>
    </w:p>
    <w:p>
      <w:r>
        <w:t xml:space="preserve">A choice that changes fewer top-20 subzones than the noise floor cannot be distinguished from data noise for planning purposes. A choice that changes more is a real decision and has to be justified, not defaulted.</w:t>
      </w:r>
    </w:p>
    <w:p>
      <w:r>
        <w:t xml:space="preserve">Three limits apply. The bootstrap covers measurement noise in heat and greenery only, not uncertainty in how the score is built, which is why formula choices are tested separately as decision-impact tests. The noise floor is an average over many draws, while each choice produces a single ranking. And the bands have not been tested for coverage, so they are described as based on validation error, not as calibrated intervals.</w:t>
      </w:r>
    </w:p>
    <w:p>
      <w:pPr>
        <w:pStyle w:val="Heading2"/>
      </w:pPr>
      <w:r>
        <w:t xml:space="preserve">1.6 Rules that keep the tests fair</w:t>
      </w:r>
    </w:p>
    <w:p>
      <w:r>
        <w:rPr>
          <w:b/>
        </w:rPr>
        <w:t xml:space="preserve">One change at a time. </w:t>
      </w:r>
      <w:r>
        <w:t xml:space="preserve">Each ablation or decision-impact test changes a single element.</w:t>
      </w:r>
    </w:p>
    <w:p>
      <w:r>
        <w:rPr>
          <w:b/>
        </w:rPr>
        <w:t xml:space="preserve">Same test set for every variant. </w:t>
      </w:r>
      <w:r>
        <w:t xml:space="preserve">All variants of a component are scored on the same points or subzones.</w:t>
      </w:r>
    </w:p>
    <w:p>
      <w:r>
        <w:rPr>
          <w:b/>
        </w:rPr>
        <w:t xml:space="preserve">Settings fixed before results. </w:t>
      </w:r>
      <w:r>
        <w:t xml:space="preserve">A setting chosen by comparing results on the test set is labelled exploratory and is not counted as evidence for that setting.</w:t>
      </w:r>
    </w:p>
    <w:p>
      <w:r>
        <w:rPr>
          <w:b/>
        </w:rPr>
        <w:t xml:space="preserve">One production version throughout. </w:t>
      </w:r>
      <w:r>
        <w:t xml:space="preserve">All five component reports use the same production land-cover map and pipeline outputs. Mixing outputs from different versions would make the decision-impact counts meaningless.</w:t>
      </w:r>
    </w:p>
    <w:p>
      <w:r>
        <w:rPr>
          <w:b/>
        </w:rPr>
        <w:t xml:space="preserve">Traceable numbers. </w:t>
      </w:r>
      <w:r>
        <w:t xml:space="preserve">Every reported number is traced to the code version, the MLflow run that logged it, and the production land-cover map (identified by its SHA-256 checksum).</w:t>
      </w:r>
    </w:p>
    <w:p>
      <w:r>
        <w:rPr>
          <w:b/>
        </w:rPr>
        <w:t xml:space="preserve">Null results are reported. </w:t>
      </w:r>
      <w:r>
        <w:t xml:space="preserve">A test that finds no effect, or cannot find one by construction, is reported as such.</w:t>
      </w:r>
    </w:p>
    <w:p>
      <w:pPr>
        <w:pStyle w:val="Heading2"/>
      </w:pPr>
      <w:r>
        <w:t xml:space="preserve">1.7 Structure of each component report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000"/>
        <w:gridCol w:w="6900"/>
      </w:tblGrid>
      <w:tr>
        <w:trPr>
          <w:tblHeader/>
        </w:trPr>
        <w:tc>
          <w:tcPr>
            <w:tcW w:w="3000" w:type="dxa"/>
            <w:shd w:val="clear" w:color="auto" w:fill="E2E8F0"/>
          </w:tcPr>
          <w:p>
            <w:r>
              <w:t xml:space="preserve">Section</w:t>
            </w:r>
          </w:p>
        </w:tc>
        <w:tc>
          <w:tcPr>
            <w:tcW w:w="6900" w:type="dxa"/>
            <w:shd w:val="clear" w:color="auto" w:fill="E2E8F0"/>
          </w:tcPr>
          <w:p>
            <w:r>
              <w:t xml:space="preserve">Content</w:t>
            </w:r>
          </w:p>
        </w:tc>
      </w:tr>
      <w:tr>
        <w:trPr>
          <w:cantSplit/>
        </w:trPr>
        <w:tc>
          <w:tcPr>
            <w:tcW w:w="3000" w:type="dxa"/>
          </w:tcPr>
          <w:p>
            <w:r>
              <w:t xml:space="preserve">Summary</w:t>
            </w:r>
          </w:p>
        </w:tc>
        <w:tc>
          <w:tcPr>
            <w:tcW w:w="6900" w:type="dxa"/>
          </w:tcPr>
          <w:p>
            <w:r>
              <w:t xml:space="preserve">What the component does, its main results, and what they mean for the priority ranking.</w:t>
            </w:r>
          </w:p>
        </w:tc>
      </w:tr>
      <w:tr>
        <w:trPr>
          <w:cantSplit/>
        </w:trPr>
        <w:tc>
          <w:tcPr>
            <w:tcW w:w="3000" w:type="dxa"/>
          </w:tcPr>
          <w:p>
            <w:r>
              <w:t xml:space="preserve">Setup</w:t>
            </w:r>
          </w:p>
        </w:tc>
        <w:tc>
          <w:tcPr>
            <w:tcW w:w="6900" w:type="dxa"/>
          </w:tcPr>
          <w:p>
            <w:r>
              <w:t xml:space="preserve">Purpose of the evaluation, reference data, metrics, significance tests, and the production version evaluated.</w:t>
            </w:r>
          </w:p>
        </w:tc>
      </w:tr>
      <w:tr>
        <w:trPr>
          <w:cantSplit/>
        </w:trPr>
        <w:tc>
          <w:tcPr>
            <w:tcW w:w="3000" w:type="dxa"/>
          </w:tcPr>
          <w:p>
            <w:r>
              <w:t xml:space="preserve">Evaluation</w:t>
            </w:r>
          </w:p>
        </w:tc>
        <w:tc>
          <w:tcPr>
            <w:tcW w:w="6900" w:type="dxa"/>
          </w:tcPr>
          <w:p>
            <w:r>
              <w:t xml:space="preserve">Performance of the final component against its reference.</w:t>
            </w:r>
          </w:p>
        </w:tc>
      </w:tr>
      <w:tr>
        <w:trPr>
          <w:cantSplit/>
        </w:trPr>
        <w:tc>
          <w:tcPr>
            <w:tcW w:w="3000" w:type="dxa"/>
          </w:tcPr>
          <w:p>
            <w:r>
              <w:t xml:space="preserve">Ablations and controlled comparisons</w:t>
            </w:r>
          </w:p>
        </w:tc>
        <w:tc>
          <w:tcPr>
            <w:tcW w:w="6900" w:type="dxa"/>
          </w:tcPr>
          <w:p>
            <w:r>
              <w:t xml:space="preserve">One-change tests on the same test set, with significance.</w:t>
            </w:r>
          </w:p>
        </w:tc>
      </w:tr>
      <w:tr>
        <w:trPr>
          <w:cantSplit/>
        </w:trPr>
        <w:tc>
          <w:tcPr>
            <w:tcW w:w="3000" w:type="dxa"/>
          </w:tcPr>
          <w:p>
            <w:r>
              <w:t xml:space="preserve">Decision impact</w:t>
            </w:r>
          </w:p>
        </w:tc>
        <w:tc>
          <w:tcPr>
            <w:tcW w:w="6900" w:type="dxa"/>
          </w:tcPr>
          <w:p>
            <w:r>
              <w:t xml:space="preserve">Top-20 subzones changed by each choice, compared with the noise floor.</w:t>
            </w:r>
          </w:p>
        </w:tc>
      </w:tr>
      <w:tr>
        <w:trPr>
          <w:cantSplit/>
        </w:trPr>
        <w:tc>
          <w:tcPr>
            <w:tcW w:w="3000" w:type="dxa"/>
          </w:tcPr>
          <w:p>
            <w:r>
              <w:t xml:space="preserve">Exploratory analyses</w:t>
            </w:r>
          </w:p>
        </w:tc>
        <w:tc>
          <w:tcPr>
            <w:tcW w:w="6900" w:type="dxa"/>
          </w:tcPr>
          <w:p>
            <w:r>
              <w:t xml:space="preserve">Sweeps and diagnostics, labelled as not supporting a choice of setting.</w:t>
            </w:r>
          </w:p>
        </w:tc>
      </w:tr>
      <w:tr>
        <w:trPr>
          <w:cantSplit/>
        </w:trPr>
        <w:tc>
          <w:tcPr>
            <w:tcW w:w="3000" w:type="dxa"/>
          </w:tcPr>
          <w:p>
            <w:r>
              <w:t xml:space="preserve">Limitations</w:t>
            </w:r>
          </w:p>
        </w:tc>
        <w:tc>
          <w:tcPr>
            <w:tcW w:w="6900" w:type="dxa"/>
          </w:tcPr>
          <w:p>
            <w:r>
              <w:t xml:space="preserve">Sample sizes, dependence on the reference data, and untested assumptions.</w:t>
            </w:r>
          </w:p>
        </w:tc>
      </w:tr>
    </w:tbl>
    <w:p/>
    <w:p>
      <w:pPr>
        <w:pStyle w:val="Heading2"/>
      </w:pPr>
      <w:r>
        <w:t xml:space="preserve">1.8 Planned tests by component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700"/>
        <w:gridCol w:w="2600"/>
        <w:gridCol w:w="3300"/>
        <w:gridCol w:w="2300"/>
      </w:tblGrid>
      <w:tr>
        <w:trPr>
          <w:tblHeader/>
        </w:trPr>
        <w:tc>
          <w:tcPr>
            <w:tcW w:w="1700" w:type="dxa"/>
            <w:shd w:val="clear" w:color="auto" w:fill="E2E8F0"/>
          </w:tcPr>
          <w:p>
            <w:r>
              <w:t xml:space="preserve">Component</w:t>
            </w:r>
          </w:p>
        </w:tc>
        <w:tc>
          <w:tcPr>
            <w:tcW w:w="2600" w:type="dxa"/>
            <w:shd w:val="clear" w:color="auto" w:fill="E2E8F0"/>
          </w:tcPr>
          <w:p>
            <w:r>
              <w:t xml:space="preserve">Evaluation</w:t>
            </w:r>
          </w:p>
        </w:tc>
        <w:tc>
          <w:tcPr>
            <w:tcW w:w="3300" w:type="dxa"/>
            <w:shd w:val="clear" w:color="auto" w:fill="E2E8F0"/>
          </w:tcPr>
          <w:p>
            <w:r>
              <w:t xml:space="preserve">Ablations and controlled comparisons</w:t>
            </w:r>
          </w:p>
        </w:tc>
        <w:tc>
          <w:tcPr>
            <w:tcW w:w="2300" w:type="dxa"/>
            <w:shd w:val="clear" w:color="auto" w:fill="E2E8F0"/>
          </w:tcPr>
          <w:p>
            <w:r>
              <w:t xml:space="preserve">Decision impact</w:t>
            </w:r>
          </w:p>
        </w:tc>
      </w:tr>
      <w:tr>
        <w:trPr>
          <w:cantSplit/>
        </w:trPr>
        <w:tc>
          <w:tcPr>
            <w:tcW w:w="1700" w:type="dxa"/>
          </w:tcPr>
          <w:p>
            <w:r>
              <w:t xml:space="preserve">Downscaling</w:t>
            </w:r>
          </w:p>
        </w:tc>
        <w:tc>
          <w:tcPr>
            <w:tcW w:w="2600" w:type="dxa"/>
          </w:tcPr>
          <w:p>
            <w:r>
              <w:t xml:space="preserve">Agreement with MODIS and NEA (offset, spread, Spearman).</w:t>
            </w:r>
          </w:p>
        </w:tc>
        <w:tc>
          <w:tcPr>
            <w:tcW w:w="3300" w:type="dxa"/>
          </w:tcPr>
          <w:p>
            <w:r>
              <w:t xml:space="preserve">Native 30 m vs bicubic 10 m vs regression 10 m; whether interpolation flattens the hottest areas; season window.</w:t>
            </w:r>
          </w:p>
        </w:tc>
        <w:tc>
          <w:tcPr>
            <w:tcW w:w="2300" w:type="dxa"/>
          </w:tcPr>
          <w:p>
            <w:r>
              <w:t xml:space="preserve">Score rebuilt with each heat layer.</w:t>
            </w:r>
          </w:p>
        </w:tc>
      </w:tr>
      <w:tr>
        <w:trPr>
          <w:cantSplit/>
        </w:trPr>
        <w:tc>
          <w:tcPr>
            <w:tcW w:w="1700" w:type="dxa"/>
          </w:tcPr>
          <w:p>
            <w:r>
              <w:t xml:space="preserve">Land cover</w:t>
            </w:r>
          </w:p>
        </w:tc>
        <w:tc>
          <w:tcPr>
            <w:tcW w:w="2600" w:type="dxa"/>
          </w:tcPr>
          <w:p>
            <w:r>
              <w:t xml:space="preserve">Accuracy, F1 and confusion matrix on the 300 points; vegetation vs non-vegetation.</w:t>
            </w:r>
          </w:p>
        </w:tc>
        <w:tc>
          <w:tcPr>
            <w:tcW w:w="3300" w:type="dxa"/>
          </w:tcPr>
          <w:p>
            <w:r>
              <w:t xml:space="preserve">WorldCover vs Dynamic World labels; RF vs U-Net vs hybrid; texture features; smoothing. Blend-weight and window sweeps as exploratory.</w:t>
            </w:r>
          </w:p>
        </w:tc>
        <w:tc>
          <w:tcPr>
            <w:tcW w:w="2300" w:type="dxa"/>
          </w:tcPr>
          <w:p>
            <w:r>
              <w:t xml:space="preserve">Score rebuilt with each greenery source, including the NDVI threshold.</w:t>
            </w:r>
          </w:p>
        </w:tc>
      </w:tr>
      <w:tr>
        <w:trPr>
          <w:cantSplit/>
        </w:trPr>
        <w:tc>
          <w:tcPr>
            <w:tcW w:w="1700" w:type="dxa"/>
          </w:tcPr>
          <w:p>
            <w:r>
              <w:t xml:space="preserve">Heat typology</w:t>
            </w:r>
          </w:p>
        </w:tc>
        <w:tc>
          <w:tcPr>
            <w:tcW w:w="2600" w:type="dxa"/>
          </w:tcPr>
          <w:p>
            <w:r>
              <w:t xml:space="preserve">Internal cluster quality; land-cover coherence.</w:t>
            </w:r>
          </w:p>
        </w:tc>
        <w:tc>
          <w:tcPr>
            <w:tcW w:w="3300" w:type="dxa"/>
          </w:tcPr>
          <w:p>
            <w:r>
              <w:t xml:space="preserve">K-means vs Gaussian mixture; number of clusters; feature set; stability across random seeds.</w:t>
            </w:r>
          </w:p>
        </w:tc>
        <w:tc>
          <w:tcPr>
            <w:tcW w:w="2300" w:type="dxa"/>
          </w:tcPr>
          <w:p>
            <w:r>
              <w:t xml:space="preserve">Not applicable: the typology describes subzones and does not enter the score. The report shows how the top-20 subzones fall across the clusters.</w:t>
            </w:r>
          </w:p>
        </w:tc>
      </w:tr>
      <w:tr>
        <w:trPr>
          <w:cantSplit/>
        </w:trPr>
        <w:tc>
          <w:tcPr>
            <w:tcW w:w="1700" w:type="dxa"/>
          </w:tcPr>
          <w:p>
            <w:r>
              <w:t xml:space="preserve">Cooling priority</w:t>
            </w:r>
          </w:p>
        </w:tc>
        <w:tc>
          <w:tcPr>
            <w:tcW w:w="2600" w:type="dxa"/>
          </w:tcPr>
          <w:p>
            <w:r>
              <w:t xml:space="preserve">Bootstrap bands, probability of staying in the top 20, noise floor.</w:t>
            </w:r>
          </w:p>
        </w:tc>
        <w:tc>
          <w:tcPr>
            <w:tcW w:w="3300" w:type="dxa"/>
          </w:tcPr>
          <w:p>
            <w:r>
              <w:t xml:space="preserve">PCA vs equal weights; sensitivity-pillar formula; residents view vs all-places view; minimum-residents threshold (500).</w:t>
            </w:r>
          </w:p>
        </w:tc>
        <w:tc>
          <w:tcPr>
            <w:tcW w:w="2300" w:type="dxa"/>
          </w:tcPr>
          <w:p>
            <w:r>
              <w:t xml:space="preserve">Every comparison in this row is itself a decision-impact test.</w:t>
            </w:r>
          </w:p>
        </w:tc>
      </w:tr>
      <w:tr>
        <w:trPr>
          <w:cantSplit/>
        </w:trPr>
        <w:tc>
          <w:tcPr>
            <w:tcW w:w="1700" w:type="dxa"/>
          </w:tcPr>
          <w:p>
            <w:r>
              <w:t xml:space="preserve">Scenario modelling</w:t>
            </w:r>
          </w:p>
        </w:tc>
        <w:tc>
          <w:tcPr>
            <w:tcW w:w="2600" w:type="dxa"/>
          </w:tcPr>
          <w:p>
            <w:r>
              <w:t xml:space="preserve">XGBoost R² and RMSE on held-out subzones; CNN RMSE on held-out patches.</w:t>
            </w:r>
          </w:p>
        </w:tc>
        <w:tc>
          <w:tcPr>
            <w:tcW w:w="3300" w:type="dxa"/>
          </w:tcPr>
          <w:p>
            <w:r>
              <w:t xml:space="preserve">Greening edit with and without moving NDVI and NDBI together; XGBoost with feature groups removed; XGBoost vs CNN direction agreement.</w:t>
            </w:r>
          </w:p>
        </w:tc>
        <w:tc>
          <w:tcPr>
            <w:tcW w:w="2300" w:type="dxa"/>
          </w:tcPr>
          <w:p>
            <w:r>
              <w:t xml:space="preserve">Not applicable: scenario outputs answer what-if questions and do not change the ranking.</w:t>
            </w:r>
          </w:p>
        </w:tc>
      </w:tr>
    </w:tbl>
    <w:p/>
    <w:p>
      <w:pPr>
        <w:pStyle w:val="Heading2"/>
      </w:pPr>
      <w:r>
        <w:t xml:space="preserve">Sources</w:t>
      </w:r>
    </w:p>
    <w:p>
      <w:r>
        <w:t xml:space="preserve">Evaluation code: validation/ (input_validation, landcover_validation, hotspots_validation, score_validation) and the scripts/diagnose_*, scripts/evaluate_* and scripts/build_* scripts. Noise floor: validation/score_validation/decision_impact.py and confidence_bands.py. Validation points: data/interim/validation_sample/validation_sample_300_labeled.csv.</w:t>
      </w:r>
    </w:p>
    <w:p>
      <w:r>
        <w:br w:type="page"/>
      </w:r>
    </w:p>
    <w:p>
      <w:pPr>
        <w:pStyle w:val="Heading1"/>
      </w:pPr>
      <w:r>
        <w:t xml:space="preserve">2. Heat-map Downscaling</w:t>
      </w:r>
    </w:p>
    <w:p>
      <w:pPr>
        <w:pStyle w:val="Subtitle"/>
      </w:pPr>
      <w:r>
        <w:t xml:space="preserve">Landsat 30 m, bicubic 10 m and regression 10 m heat layers</w:t>
      </w:r>
    </w:p>
    <w:p>
      <w:pPr>
        <w:pStyle w:val="Heading2"/>
      </w:pPr>
      <w:r>
        <w:t xml:space="preserve">Summary</w:t>
      </w:r>
    </w:p>
    <w:p>
      <w:r>
        <w:t xml:space="preserve">The project builds three heat layers from the same Landsat land surface temperature composite: the 30 m Landsat layer itself, a 10 m layer made by bicubic interpolation, and a 10 m layer made by regression downscaling with Sentinel-2 indices (a TsHARP-style method). The 30 m layer is the reference used by the priority score.</w:t>
      </w:r>
    </w:p>
    <w:p>
      <w:r>
        <w:t xml:space="preserve">At subzone level the three layers are practically identical, so they agree equally with independent MODIS temperature, and swapping them in the priority score changes 0 of the top-20 subzones, against a measurement-noise floor of 10.9. A coarsen-and-recover test, which scores each method against real Landsat temperature at a known finer scale, found that the regression method does not reconstruct fine-scale temperature more accurately than bicubic interpolation (RMSE +0.10 °C at the 360 m to 120 m step), although it preserves the hottest and coolest pixels better. The 10 m regression layer is therefore not evidence of more accurate fine-scale heat, and the choice of heat layer does not change planning priorities.</w:t>
      </w:r>
    </w:p>
    <w:p>
      <w:pPr>
        <w:pStyle w:val="Heading2"/>
      </w:pPr>
      <w:r>
        <w:t xml:space="preserve">2.1 Purpose and setup</w:t>
      </w:r>
    </w:p>
    <w:p>
      <w:r>
        <w:t xml:space="preserve">Downscaling is meant to give a sharper heat map than Landsat's 30 m product by borrowing spatial detail from 10 m Sentinel-2 imagery. Its evaluation must show two things: whether the extra detail is accurate, and whether it changes which subzones are prioritised.</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600"/>
        <w:gridCol w:w="7300"/>
      </w:tblGrid>
      <w:tr>
        <w:trPr>
          <w:tblHeader/>
        </w:trPr>
        <w:tc>
          <w:tcPr>
            <w:tcW w:w="2600" w:type="dxa"/>
            <w:shd w:val="clear" w:color="auto" w:fill="E2E8F0"/>
          </w:tcPr>
          <w:p>
            <w:r>
              <w:t xml:space="preserve">Item</w:t>
            </w:r>
          </w:p>
        </w:tc>
        <w:tc>
          <w:tcPr>
            <w:tcW w:w="7300" w:type="dxa"/>
            <w:shd w:val="clear" w:color="auto" w:fill="E2E8F0"/>
          </w:tcPr>
          <w:p>
            <w:r>
              <w:t xml:space="preserve">Setting</w:t>
            </w:r>
          </w:p>
        </w:tc>
      </w:tr>
      <w:tr>
        <w:trPr>
          <w:cantSplit/>
        </w:trPr>
        <w:tc>
          <w:tcPr>
            <w:tcW w:w="2600" w:type="dxa"/>
          </w:tcPr>
          <w:p>
            <w:r>
              <w:t xml:space="preserve">Heat composite</w:t>
            </w:r>
          </w:p>
        </w:tc>
        <w:tc>
          <w:tcPr>
            <w:tcW w:w="7300" w:type="dxa"/>
          </w:tcPr>
          <w:p>
            <w:r>
              <w:t xml:space="preserve">Landsat 8 and 9 surface temperature, median of the inter-monsoon months (April, May, October, November) from 2021 to June 2026, scenes under 70% cloud.</w:t>
            </w:r>
          </w:p>
        </w:tc>
      </w:tr>
      <w:tr>
        <w:trPr>
          <w:cantSplit/>
        </w:trPr>
        <w:tc>
          <w:tcPr>
            <w:tcW w:w="2600" w:type="dxa"/>
          </w:tcPr>
          <w:p>
            <w:r>
              <w:t xml:space="preserve">Regression method</w:t>
            </w:r>
          </w:p>
        </w:tc>
        <w:tc>
          <w:tcPr>
            <w:tcW w:w="7300" w:type="dxa"/>
          </w:tcPr>
          <w:p>
            <w:r>
              <w:t xml:space="preserve">Temperature at 30 m regressed on Sentinel-2 NDVI, NDBI and NDWI (aggregated to 30 m), applied at 10 m, plus the 30 m residual resampled bilinearly. The residual step approximately keeps each 30 m block's mean temperature.</w:t>
            </w:r>
          </w:p>
        </w:tc>
      </w:tr>
      <w:tr>
        <w:trPr>
          <w:cantSplit/>
        </w:trPr>
        <w:tc>
          <w:tcPr>
            <w:tcW w:w="2600" w:type="dxa"/>
          </w:tcPr>
          <w:p>
            <w:r>
              <w:t xml:space="preserve">Independent references</w:t>
            </w:r>
          </w:p>
        </w:tc>
        <w:tc>
          <w:tcPr>
            <w:tcW w:w="7300" w:type="dxa"/>
          </w:tcPr>
          <w:p>
            <w:r>
              <w:t xml:space="preserve">MODIS land surface temperature at 1 km (329 subzones) and NEA weather-station air temperature (12 subzones).</w:t>
            </w:r>
          </w:p>
        </w:tc>
      </w:tr>
      <w:tr>
        <w:trPr>
          <w:cantSplit/>
        </w:trPr>
        <w:tc>
          <w:tcPr>
            <w:tcW w:w="2600" w:type="dxa"/>
          </w:tcPr>
          <w:p>
            <w:r>
              <w:t xml:space="preserve">Production version</w:t>
            </w:r>
          </w:p>
        </w:tc>
        <w:tc>
          <w:tcPr>
            <w:tcW w:w="7300" w:type="dxa"/>
          </w:tcPr>
          <w:p>
            <w:r>
              <w:t xml:space="preserve">Heat layers from data/interim/heat_variants_subzone.csv. The priority score is rebuilt on the production land-cover map (U-Net, SHA-256 dc33f409…).</w:t>
            </w:r>
          </w:p>
        </w:tc>
      </w:tr>
      <w:tr>
        <w:trPr>
          <w:cantSplit/>
        </w:trPr>
        <w:tc>
          <w:tcPr>
            <w:tcW w:w="2600" w:type="dxa"/>
          </w:tcPr>
          <w:p>
            <w:r>
              <w:t xml:space="preserve">Statistical method</w:t>
            </w:r>
          </w:p>
        </w:tc>
        <w:tc>
          <w:tcPr>
            <w:tcW w:w="7300" w:type="dxa"/>
          </w:tcPr>
          <w:p>
            <w:r>
              <w:t xml:space="preserve">Spearman rank correlation; RMSE differences with 95% intervals from a spatial block bootstrap (1 km blocks, 2,000 resamples).</w:t>
            </w:r>
          </w:p>
        </w:tc>
      </w:tr>
    </w:tbl>
    <w:p/>
    <w:p>
      <w:pPr>
        <w:pStyle w:val="Heading2"/>
      </w:pPr>
      <w:r>
        <w:t xml:space="preserve">2.2 Evaluation: agreement with independent temperature</w:t>
      </w:r>
    </w:p>
    <w:p>
      <w:r>
        <w:t xml:space="preserve">Each layer's subzone means are compared with MODIS and NEA. The disagreement is split into a constant offset (which cannot change a ranking, because the score rescales temperature), the spread left after removing the offset, and rank agreement.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300"/>
        <w:gridCol w:w="2900"/>
        <w:gridCol w:w="1300"/>
        <w:gridCol w:w="1500"/>
        <w:gridCol w:w="1400"/>
        <w:gridCol w:w="1500"/>
      </w:tblGrid>
      <w:tr>
        <w:trPr>
          <w:tblHeader/>
        </w:trPr>
        <w:tc>
          <w:tcPr>
            <w:tcW w:w="1300" w:type="dxa"/>
            <w:shd w:val="clear" w:color="auto" w:fill="E2E8F0"/>
          </w:tcPr>
          <w:p>
            <w:r>
              <w:t xml:space="preserve">Reference</w:t>
            </w:r>
          </w:p>
        </w:tc>
        <w:tc>
          <w:tcPr>
            <w:tcW w:w="2900" w:type="dxa"/>
            <w:shd w:val="clear" w:color="auto" w:fill="E2E8F0"/>
          </w:tcPr>
          <w:p>
            <w:r>
              <w:t xml:space="preserve">Heat layer</w:t>
            </w:r>
          </w:p>
        </w:tc>
        <w:tc>
          <w:tcPr>
            <w:tcW w:w="1300" w:type="dxa"/>
            <w:shd w:val="clear" w:color="auto" w:fill="E2E8F0"/>
          </w:tcPr>
          <w:p>
            <w:r>
              <w:t xml:space="preserve">Subzones</w:t>
            </w:r>
          </w:p>
        </w:tc>
        <w:tc>
          <w:tcPr>
            <w:tcW w:w="1500" w:type="dxa"/>
            <w:shd w:val="clear" w:color="auto" w:fill="E2E8F0"/>
          </w:tcPr>
          <w:p>
            <w:r>
              <w:t xml:space="preserve">Offset (°C)</w:t>
            </w:r>
          </w:p>
        </w:tc>
        <w:tc>
          <w:tcPr>
            <w:tcW w:w="1400" w:type="dxa"/>
            <w:shd w:val="clear" w:color="auto" w:fill="E2E8F0"/>
          </w:tcPr>
          <w:p>
            <w:r>
              <w:t xml:space="preserve">Spread (°C)</w:t>
            </w:r>
          </w:p>
        </w:tc>
        <w:tc>
          <w:tcPr>
            <w:tcW w:w="1500" w:type="dxa"/>
            <w:shd w:val="clear" w:color="auto" w:fill="E2E8F0"/>
          </w:tcPr>
          <w:p>
            <w:r>
              <w:t xml:space="preserve">Spearman</w:t>
            </w:r>
          </w:p>
        </w:tc>
      </w:tr>
      <w:tr>
        <w:trPr>
          <w:cantSplit/>
        </w:trPr>
        <w:tc>
          <w:tcPr>
            <w:tcW w:w="1300" w:type="dxa"/>
          </w:tcPr>
          <w:p>
            <w:r>
              <w:t xml:space="preserve">MODIS</w:t>
            </w:r>
          </w:p>
        </w:tc>
        <w:tc>
          <w:tcPr>
            <w:tcW w:w="2900" w:type="dxa"/>
          </w:tcPr>
          <w:p>
            <w:r>
              <w:t xml:space="preserve">Landsat 30 m (reference)</w:t>
            </w:r>
          </w:p>
        </w:tc>
        <w:tc>
          <w:tcPr>
            <w:tcW w:w="1300" w:type="dxa"/>
          </w:tcPr>
          <w:p>
            <w:r>
              <w:t xml:space="preserve">329</w:t>
            </w:r>
          </w:p>
        </w:tc>
        <w:tc>
          <w:tcPr>
            <w:tcW w:w="1500" w:type="dxa"/>
          </w:tcPr>
          <w:p>
            <w:r>
              <w:t xml:space="preserve">+6.13</w:t>
            </w:r>
          </w:p>
        </w:tc>
        <w:tc>
          <w:tcPr>
            <w:tcW w:w="1400" w:type="dxa"/>
          </w:tcPr>
          <w:p>
            <w:r>
              <w:t xml:space="preserve">2.17</w:t>
            </w:r>
          </w:p>
        </w:tc>
        <w:tc>
          <w:tcPr>
            <w:tcW w:w="1500" w:type="dxa"/>
          </w:tcPr>
          <w:p>
            <w:r>
              <w:t xml:space="preserve">0.443</w:t>
            </w:r>
          </w:p>
        </w:tc>
      </w:tr>
      <w:tr>
        <w:trPr>
          <w:cantSplit/>
        </w:trPr>
        <w:tc>
          <w:tcPr>
            <w:tcW w:w="1300" w:type="dxa"/>
          </w:tcPr>
          <w:p>
            <w:r>
              <w:t xml:space="preserve">MODIS</w:t>
            </w:r>
          </w:p>
        </w:tc>
        <w:tc>
          <w:tcPr>
            <w:tcW w:w="2900" w:type="dxa"/>
          </w:tcPr>
          <w:p>
            <w:r>
              <w:t xml:space="preserve">Bicubic 10 m</w:t>
            </w:r>
          </w:p>
        </w:tc>
        <w:tc>
          <w:tcPr>
            <w:tcW w:w="1300" w:type="dxa"/>
          </w:tcPr>
          <w:p>
            <w:r>
              <w:t xml:space="preserve">329</w:t>
            </w:r>
          </w:p>
        </w:tc>
        <w:tc>
          <w:tcPr>
            <w:tcW w:w="1500" w:type="dxa"/>
          </w:tcPr>
          <w:p>
            <w:r>
              <w:t xml:space="preserve">+6.13</w:t>
            </w:r>
          </w:p>
        </w:tc>
        <w:tc>
          <w:tcPr>
            <w:tcW w:w="1400" w:type="dxa"/>
          </w:tcPr>
          <w:p>
            <w:r>
              <w:t xml:space="preserve">2.18</w:t>
            </w:r>
          </w:p>
        </w:tc>
        <w:tc>
          <w:tcPr>
            <w:tcW w:w="1500" w:type="dxa"/>
          </w:tcPr>
          <w:p>
            <w:r>
              <w:t xml:space="preserve">0.443</w:t>
            </w:r>
          </w:p>
        </w:tc>
      </w:tr>
      <w:tr>
        <w:trPr>
          <w:cantSplit/>
        </w:trPr>
        <w:tc>
          <w:tcPr>
            <w:tcW w:w="1300" w:type="dxa"/>
          </w:tcPr>
          <w:p>
            <w:r>
              <w:t xml:space="preserve">MODIS</w:t>
            </w:r>
          </w:p>
        </w:tc>
        <w:tc>
          <w:tcPr>
            <w:tcW w:w="2900" w:type="dxa"/>
          </w:tcPr>
          <w:p>
            <w:r>
              <w:t xml:space="preserve">Regression 10 m</w:t>
            </w:r>
          </w:p>
        </w:tc>
        <w:tc>
          <w:tcPr>
            <w:tcW w:w="1300" w:type="dxa"/>
          </w:tcPr>
          <w:p>
            <w:r>
              <w:t xml:space="preserve">329</w:t>
            </w:r>
          </w:p>
        </w:tc>
        <w:tc>
          <w:tcPr>
            <w:tcW w:w="1500" w:type="dxa"/>
          </w:tcPr>
          <w:p>
            <w:r>
              <w:t xml:space="preserve">+6.14</w:t>
            </w:r>
          </w:p>
        </w:tc>
        <w:tc>
          <w:tcPr>
            <w:tcW w:w="1400" w:type="dxa"/>
          </w:tcPr>
          <w:p>
            <w:r>
              <w:t xml:space="preserve">2.17</w:t>
            </w:r>
          </w:p>
        </w:tc>
        <w:tc>
          <w:tcPr>
            <w:tcW w:w="1500" w:type="dxa"/>
          </w:tcPr>
          <w:p>
            <w:r>
              <w:t xml:space="preserve">0.443</w:t>
            </w:r>
          </w:p>
        </w:tc>
      </w:tr>
      <w:tr>
        <w:trPr>
          <w:cantSplit/>
        </w:trPr>
        <w:tc>
          <w:tcPr>
            <w:tcW w:w="1300" w:type="dxa"/>
          </w:tcPr>
          <w:p>
            <w:r>
              <w:t xml:space="preserve">NEA</w:t>
            </w:r>
          </w:p>
        </w:tc>
        <w:tc>
          <w:tcPr>
            <w:tcW w:w="2900" w:type="dxa"/>
          </w:tcPr>
          <w:p>
            <w:r>
              <w:t xml:space="preserve">Landsat 30 m (reference)</w:t>
            </w:r>
          </w:p>
        </w:tc>
        <w:tc>
          <w:tcPr>
            <w:tcW w:w="1300" w:type="dxa"/>
          </w:tcPr>
          <w:p>
            <w:r>
              <w:t xml:space="preserve">12</w:t>
            </w:r>
          </w:p>
        </w:tc>
        <w:tc>
          <w:tcPr>
            <w:tcW w:w="1500" w:type="dxa"/>
          </w:tcPr>
          <w:p>
            <w:r>
              <w:t xml:space="preserve">+11.38</w:t>
            </w:r>
          </w:p>
        </w:tc>
        <w:tc>
          <w:tcPr>
            <w:tcW w:w="1400" w:type="dxa"/>
          </w:tcPr>
          <w:p>
            <w:r>
              <w:t xml:space="preserve">2.55</w:t>
            </w:r>
          </w:p>
        </w:tc>
        <w:tc>
          <w:tcPr>
            <w:tcW w:w="1500" w:type="dxa"/>
          </w:tcPr>
          <w:p>
            <w:r>
              <w:t xml:space="preserve">0.371</w:t>
            </w:r>
          </w:p>
        </w:tc>
      </w:tr>
      <w:tr>
        <w:trPr>
          <w:cantSplit/>
        </w:trPr>
        <w:tc>
          <w:tcPr>
            <w:tcW w:w="1300" w:type="dxa"/>
          </w:tcPr>
          <w:p>
            <w:r>
              <w:t xml:space="preserve">NEA</w:t>
            </w:r>
          </w:p>
        </w:tc>
        <w:tc>
          <w:tcPr>
            <w:tcW w:w="2900" w:type="dxa"/>
          </w:tcPr>
          <w:p>
            <w:r>
              <w:t xml:space="preserve">Bicubic 10 m</w:t>
            </w:r>
          </w:p>
        </w:tc>
        <w:tc>
          <w:tcPr>
            <w:tcW w:w="1300" w:type="dxa"/>
          </w:tcPr>
          <w:p>
            <w:r>
              <w:t xml:space="preserve">12</w:t>
            </w:r>
          </w:p>
        </w:tc>
        <w:tc>
          <w:tcPr>
            <w:tcW w:w="1500" w:type="dxa"/>
          </w:tcPr>
          <w:p>
            <w:r>
              <w:t xml:space="preserve">+11.38</w:t>
            </w:r>
          </w:p>
        </w:tc>
        <w:tc>
          <w:tcPr>
            <w:tcW w:w="1400" w:type="dxa"/>
          </w:tcPr>
          <w:p>
            <w:r>
              <w:t xml:space="preserve">2.55</w:t>
            </w:r>
          </w:p>
        </w:tc>
        <w:tc>
          <w:tcPr>
            <w:tcW w:w="1500" w:type="dxa"/>
          </w:tcPr>
          <w:p>
            <w:r>
              <w:t xml:space="preserve">0.371</w:t>
            </w:r>
          </w:p>
        </w:tc>
      </w:tr>
      <w:tr>
        <w:trPr>
          <w:cantSplit/>
        </w:trPr>
        <w:tc>
          <w:tcPr>
            <w:tcW w:w="1300" w:type="dxa"/>
          </w:tcPr>
          <w:p>
            <w:r>
              <w:t xml:space="preserve">NEA</w:t>
            </w:r>
          </w:p>
        </w:tc>
        <w:tc>
          <w:tcPr>
            <w:tcW w:w="2900" w:type="dxa"/>
          </w:tcPr>
          <w:p>
            <w:r>
              <w:t xml:space="preserve">Regression 10 m</w:t>
            </w:r>
          </w:p>
        </w:tc>
        <w:tc>
          <w:tcPr>
            <w:tcW w:w="1300" w:type="dxa"/>
          </w:tcPr>
          <w:p>
            <w:r>
              <w:t xml:space="preserve">12</w:t>
            </w:r>
          </w:p>
        </w:tc>
        <w:tc>
          <w:tcPr>
            <w:tcW w:w="1500" w:type="dxa"/>
          </w:tcPr>
          <w:p>
            <w:r>
              <w:t xml:space="preserve">+11.39</w:t>
            </w:r>
          </w:p>
        </w:tc>
        <w:tc>
          <w:tcPr>
            <w:tcW w:w="1400" w:type="dxa"/>
          </w:tcPr>
          <w:p>
            <w:r>
              <w:t xml:space="preserve">2.55</w:t>
            </w:r>
          </w:p>
        </w:tc>
        <w:tc>
          <w:tcPr>
            <w:tcW w:w="1500" w:type="dxa"/>
          </w:tcPr>
          <w:p>
            <w:r>
              <w:t xml:space="preserve">0.371</w:t>
            </w:r>
          </w:p>
        </w:tc>
      </w:tr>
    </w:tbl>
    <w:p/>
    <w:p>
      <w:r>
        <w:t xml:space="preserve">Landsat reads hotter than both references, as expected: MODIS measures at 1 km, and NEA stations measure air temperature, not surface temperature. Rank agreement with MODIS is moderate. NEA covers too few subzones to support a conclusion and is shown for context. The three layers are indistinguishable on every measure.</w:t>
      </w:r>
    </w:p>
    <w:p>
      <w:pPr>
        <w:pStyle w:val="Heading2"/>
      </w:pPr>
      <w:r>
        <w:t xml:space="preserve">2.3 Evaluation: downscaling skill (coarsen-and-recover)</w:t>
      </w:r>
    </w:p>
    <w:p>
      <w:r>
        <w:t xml:space="preserve">There is no 10 m temperature ground truth. The standard workaround is to run the method one step coarser, where truth exists: aggregate the Landsat temperature to a coarse scale, rebuild a three-times finer scale with each method, and compare with the real Landsat temperature at that finer scale. Two scale pairs were tested. The 90 m to 30 m pair repeats the production step's factor of three. The 360 m to 120 m pair sits above Landsat's thermal sensor resolution (about 100 m; the 30 m product is resampled from it), so its reference holds detail the sensor really measured. The 90 m to 30 m reference is partly interpolated itself, which favours interpolation methods; the 360 m to 120 m pair is the fairer test.</w:t>
      </w:r>
    </w:p>
    <w:p>
      <w:r>
        <w:rPr>
          <w:b/>
        </w:rPr>
        <w:t xml:space="preserve">360 m to 120 m (fairer test): </w:t>
      </w:r>
      <w:r>
        <w:t xml:space="preserve">49,400 land pixels.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100"/>
        <w:gridCol w:w="1200"/>
        <w:gridCol w:w="1000"/>
        <w:gridCol w:w="1300"/>
        <w:gridCol w:w="1700"/>
        <w:gridCol w:w="1600"/>
      </w:tblGrid>
      <w:tr>
        <w:trPr>
          <w:tblHeader/>
        </w:trPr>
        <w:tc>
          <w:tcPr>
            <w:tcW w:w="3100" w:type="dxa"/>
            <w:shd w:val="clear" w:color="auto" w:fill="E2E8F0"/>
          </w:tcPr>
          <w:p>
            <w:r>
              <w:t xml:space="preserve">Method</w:t>
            </w:r>
          </w:p>
        </w:tc>
        <w:tc>
          <w:tcPr>
            <w:tcW w:w="1200" w:type="dxa"/>
            <w:shd w:val="clear" w:color="auto" w:fill="E2E8F0"/>
          </w:tcPr>
          <w:p>
            <w:r>
              <w:t xml:space="preserve">RMSE (°C)</w:t>
            </w:r>
          </w:p>
        </w:tc>
        <w:tc>
          <w:tcPr>
            <w:tcW w:w="1000" w:type="dxa"/>
            <w:shd w:val="clear" w:color="auto" w:fill="E2E8F0"/>
          </w:tcPr>
          <w:p>
            <w:r>
              <w:t xml:space="preserve">R²</w:t>
            </w:r>
          </w:p>
        </w:tc>
        <w:tc>
          <w:tcPr>
            <w:tcW w:w="1300" w:type="dxa"/>
            <w:shd w:val="clear" w:color="auto" w:fill="E2E8F0"/>
          </w:tcPr>
          <w:p>
            <w:r>
              <w:t xml:space="preserve">Spread ratio</w:t>
            </w:r>
          </w:p>
        </w:tc>
        <w:tc>
          <w:tcPr>
            <w:tcW w:w="1700" w:type="dxa"/>
            <w:shd w:val="clear" w:color="auto" w:fill="E2E8F0"/>
          </w:tcPr>
          <w:p>
            <w:r>
              <w:t xml:space="preserve">Hottest 10% error (°C)</w:t>
            </w:r>
          </w:p>
        </w:tc>
        <w:tc>
          <w:tcPr>
            <w:tcW w:w="1600" w:type="dxa"/>
            <w:shd w:val="clear" w:color="auto" w:fill="E2E8F0"/>
          </w:tcPr>
          <w:p>
            <w:r>
              <w:t xml:space="preserve">Coolest 10% error (°C)</w:t>
            </w:r>
          </w:p>
        </w:tc>
      </w:tr>
      <w:tr>
        <w:trPr>
          <w:cantSplit/>
        </w:trPr>
        <w:tc>
          <w:tcPr>
            <w:tcW w:w="3100" w:type="dxa"/>
          </w:tcPr>
          <w:p>
            <w:r>
              <w:t xml:space="preserve">Nearest (copy coarse value)</w:t>
            </w:r>
          </w:p>
        </w:tc>
        <w:tc>
          <w:tcPr>
            <w:tcW w:w="1200" w:type="dxa"/>
          </w:tcPr>
          <w:p>
            <w:r>
              <w:t xml:space="preserve">1.51</w:t>
            </w:r>
          </w:p>
        </w:tc>
        <w:tc>
          <w:tcPr>
            <w:tcW w:w="1000" w:type="dxa"/>
          </w:tcPr>
          <w:p>
            <w:r>
              <w:t xml:space="preserve">0.874</w:t>
            </w:r>
          </w:p>
        </w:tc>
        <w:tc>
          <w:tcPr>
            <w:tcW w:w="1300" w:type="dxa"/>
          </w:tcPr>
          <w:p>
            <w:r>
              <w:t xml:space="preserve">0.95</w:t>
            </w:r>
          </w:p>
        </w:tc>
        <w:tc>
          <w:tcPr>
            <w:tcW w:w="1700" w:type="dxa"/>
          </w:tcPr>
          <w:p>
            <w:r>
              <w:t xml:space="preserve">-1.17</w:t>
            </w:r>
          </w:p>
        </w:tc>
        <w:tc>
          <w:tcPr>
            <w:tcW w:w="1600" w:type="dxa"/>
          </w:tcPr>
          <w:p>
            <w:r>
              <w:t xml:space="preserve">+0.32</w:t>
            </w:r>
          </w:p>
        </w:tc>
      </w:tr>
      <w:tr>
        <w:trPr>
          <w:cantSplit/>
        </w:trPr>
        <w:tc>
          <w:tcPr>
            <w:tcW w:w="3100" w:type="dxa"/>
          </w:tcPr>
          <w:p>
            <w:r>
              <w:t xml:space="preserve">Bilinear interpolation</w:t>
            </w:r>
          </w:p>
        </w:tc>
        <w:tc>
          <w:tcPr>
            <w:tcW w:w="1200" w:type="dxa"/>
          </w:tcPr>
          <w:p>
            <w:r>
              <w:t xml:space="preserve">1.36</w:t>
            </w:r>
          </w:p>
        </w:tc>
        <w:tc>
          <w:tcPr>
            <w:tcW w:w="1000" w:type="dxa"/>
          </w:tcPr>
          <w:p>
            <w:r>
              <w:t xml:space="preserve">0.898</w:t>
            </w:r>
          </w:p>
        </w:tc>
        <w:tc>
          <w:tcPr>
            <w:tcW w:w="1300" w:type="dxa"/>
          </w:tcPr>
          <w:p>
            <w:r>
              <w:t xml:space="preserve">0.91</w:t>
            </w:r>
          </w:p>
        </w:tc>
        <w:tc>
          <w:tcPr>
            <w:tcW w:w="1700" w:type="dxa"/>
          </w:tcPr>
          <w:p>
            <w:r>
              <w:t xml:space="preserve">-1.46</w:t>
            </w:r>
          </w:p>
        </w:tc>
        <w:tc>
          <w:tcPr>
            <w:tcW w:w="1600" w:type="dxa"/>
          </w:tcPr>
          <w:p>
            <w:r>
              <w:t xml:space="preserve">+0.42</w:t>
            </w:r>
          </w:p>
        </w:tc>
      </w:tr>
      <w:tr>
        <w:trPr>
          <w:cantSplit/>
        </w:trPr>
        <w:tc>
          <w:tcPr>
            <w:tcW w:w="3100" w:type="dxa"/>
          </w:tcPr>
          <w:p>
            <w:r>
              <w:t xml:space="preserve">Bicubic interpolation</w:t>
            </w:r>
          </w:p>
        </w:tc>
        <w:tc>
          <w:tcPr>
            <w:tcW w:w="1200" w:type="dxa"/>
          </w:tcPr>
          <w:p>
            <w:r>
              <w:t xml:space="preserve">1.21</w:t>
            </w:r>
          </w:p>
        </w:tc>
        <w:tc>
          <w:tcPr>
            <w:tcW w:w="1000" w:type="dxa"/>
          </w:tcPr>
          <w:p>
            <w:r>
              <w:t xml:space="preserve">0.919</w:t>
            </w:r>
          </w:p>
        </w:tc>
        <w:tc>
          <w:tcPr>
            <w:tcW w:w="1300" w:type="dxa"/>
          </w:tcPr>
          <w:p>
            <w:r>
              <w:t xml:space="preserve">0.94</w:t>
            </w:r>
          </w:p>
        </w:tc>
        <w:tc>
          <w:tcPr>
            <w:tcW w:w="1700" w:type="dxa"/>
          </w:tcPr>
          <w:p>
            <w:r>
              <w:t xml:space="preserve">-1.06</w:t>
            </w:r>
          </w:p>
        </w:tc>
        <w:tc>
          <w:tcPr>
            <w:tcW w:w="1600" w:type="dxa"/>
          </w:tcPr>
          <w:p>
            <w:r>
              <w:t xml:space="preserve">+0.28</w:t>
            </w:r>
          </w:p>
        </w:tc>
      </w:tr>
      <w:tr>
        <w:trPr>
          <w:cantSplit/>
        </w:trPr>
        <w:tc>
          <w:tcPr>
            <w:tcW w:w="3100" w:type="dxa"/>
          </w:tcPr>
          <w:p>
            <w:r>
              <w:t xml:space="preserve">Regression (production method)</w:t>
            </w:r>
          </w:p>
        </w:tc>
        <w:tc>
          <w:tcPr>
            <w:tcW w:w="1200" w:type="dxa"/>
          </w:tcPr>
          <w:p>
            <w:r>
              <w:t xml:space="preserve">1.31</w:t>
            </w:r>
          </w:p>
        </w:tc>
        <w:tc>
          <w:tcPr>
            <w:tcW w:w="1000" w:type="dxa"/>
          </w:tcPr>
          <w:p>
            <w:r>
              <w:t xml:space="preserve">0.905</w:t>
            </w:r>
          </w:p>
        </w:tc>
        <w:tc>
          <w:tcPr>
            <w:tcW w:w="1300" w:type="dxa"/>
          </w:tcPr>
          <w:p>
            <w:r>
              <w:t xml:space="preserve">0.99</w:t>
            </w:r>
          </w:p>
        </w:tc>
        <w:tc>
          <w:tcPr>
            <w:tcW w:w="1700" w:type="dxa"/>
          </w:tcPr>
          <w:p>
            <w:r>
              <w:t xml:space="preserve">-0.94</w:t>
            </w:r>
          </w:p>
        </w:tc>
        <w:tc>
          <w:tcPr>
            <w:tcW w:w="1600" w:type="dxa"/>
          </w:tcPr>
          <w:p>
            <w:r>
              <w:t xml:space="preserve">-0.06</w:t>
            </w:r>
          </w:p>
        </w:tc>
      </w:tr>
    </w:tbl>
    <w:p/>
    <w:p>
      <w:r>
        <w:rPr>
          <w:b/>
        </w:rPr>
        <w:t xml:space="preserve">90 m to 30 m: </w:t>
      </w:r>
      <w:r>
        <w:t xml:space="preserve">789,447 land pixels.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100"/>
        <w:gridCol w:w="1200"/>
        <w:gridCol w:w="1000"/>
        <w:gridCol w:w="1300"/>
        <w:gridCol w:w="1700"/>
        <w:gridCol w:w="1600"/>
      </w:tblGrid>
      <w:tr>
        <w:trPr>
          <w:tblHeader/>
        </w:trPr>
        <w:tc>
          <w:tcPr>
            <w:tcW w:w="3100" w:type="dxa"/>
            <w:shd w:val="clear" w:color="auto" w:fill="E2E8F0"/>
          </w:tcPr>
          <w:p>
            <w:r>
              <w:t xml:space="preserve">Method</w:t>
            </w:r>
          </w:p>
        </w:tc>
        <w:tc>
          <w:tcPr>
            <w:tcW w:w="1200" w:type="dxa"/>
            <w:shd w:val="clear" w:color="auto" w:fill="E2E8F0"/>
          </w:tcPr>
          <w:p>
            <w:r>
              <w:t xml:space="preserve">RMSE (°C)</w:t>
            </w:r>
          </w:p>
        </w:tc>
        <w:tc>
          <w:tcPr>
            <w:tcW w:w="1000" w:type="dxa"/>
            <w:shd w:val="clear" w:color="auto" w:fill="E2E8F0"/>
          </w:tcPr>
          <w:p>
            <w:r>
              <w:t xml:space="preserve">R²</w:t>
            </w:r>
          </w:p>
        </w:tc>
        <w:tc>
          <w:tcPr>
            <w:tcW w:w="1300" w:type="dxa"/>
            <w:shd w:val="clear" w:color="auto" w:fill="E2E8F0"/>
          </w:tcPr>
          <w:p>
            <w:r>
              <w:t xml:space="preserve">Spread ratio</w:t>
            </w:r>
          </w:p>
        </w:tc>
        <w:tc>
          <w:tcPr>
            <w:tcW w:w="1700" w:type="dxa"/>
            <w:shd w:val="clear" w:color="auto" w:fill="E2E8F0"/>
          </w:tcPr>
          <w:p>
            <w:r>
              <w:t xml:space="preserve">Hottest 10% error (°C)</w:t>
            </w:r>
          </w:p>
        </w:tc>
        <w:tc>
          <w:tcPr>
            <w:tcW w:w="1600" w:type="dxa"/>
            <w:shd w:val="clear" w:color="auto" w:fill="E2E8F0"/>
          </w:tcPr>
          <w:p>
            <w:r>
              <w:t xml:space="preserve">Coolest 10% error (°C)</w:t>
            </w:r>
          </w:p>
        </w:tc>
      </w:tr>
      <w:tr>
        <w:trPr>
          <w:cantSplit/>
        </w:trPr>
        <w:tc>
          <w:tcPr>
            <w:tcW w:w="3100" w:type="dxa"/>
          </w:tcPr>
          <w:p>
            <w:r>
              <w:t xml:space="preserve">Nearest (copy coarse value)</w:t>
            </w:r>
          </w:p>
        </w:tc>
        <w:tc>
          <w:tcPr>
            <w:tcW w:w="1200" w:type="dxa"/>
          </w:tcPr>
          <w:p>
            <w:r>
              <w:t xml:space="preserve">0.67</w:t>
            </w:r>
          </w:p>
        </w:tc>
        <w:tc>
          <w:tcPr>
            <w:tcW w:w="1000" w:type="dxa"/>
          </w:tcPr>
          <w:p>
            <w:r>
              <w:t xml:space="preserve">0.976</w:t>
            </w:r>
          </w:p>
        </w:tc>
        <w:tc>
          <w:tcPr>
            <w:tcW w:w="1300" w:type="dxa"/>
          </w:tcPr>
          <w:p>
            <w:r>
              <w:t xml:space="preserve">0.99</w:t>
            </w:r>
          </w:p>
        </w:tc>
        <w:tc>
          <w:tcPr>
            <w:tcW w:w="1700" w:type="dxa"/>
          </w:tcPr>
          <w:p>
            <w:r>
              <w:t xml:space="preserve">-0.24</w:t>
            </w:r>
          </w:p>
        </w:tc>
        <w:tc>
          <w:tcPr>
            <w:tcW w:w="1600" w:type="dxa"/>
          </w:tcPr>
          <w:p>
            <w:r>
              <w:t xml:space="preserve">+0.08</w:t>
            </w:r>
          </w:p>
        </w:tc>
      </w:tr>
      <w:tr>
        <w:trPr>
          <w:cantSplit/>
        </w:trPr>
        <w:tc>
          <w:tcPr>
            <w:tcW w:w="3100" w:type="dxa"/>
          </w:tcPr>
          <w:p>
            <w:r>
              <w:t xml:space="preserve">Bilinear interpolation</w:t>
            </w:r>
          </w:p>
        </w:tc>
        <w:tc>
          <w:tcPr>
            <w:tcW w:w="1200" w:type="dxa"/>
          </w:tcPr>
          <w:p>
            <w:r>
              <w:t xml:space="preserve">0.49</w:t>
            </w:r>
          </w:p>
        </w:tc>
        <w:tc>
          <w:tcPr>
            <w:tcW w:w="1000" w:type="dxa"/>
          </w:tcPr>
          <w:p>
            <w:r>
              <w:t xml:space="preserve">0.987</w:t>
            </w:r>
          </w:p>
        </w:tc>
        <w:tc>
          <w:tcPr>
            <w:tcW w:w="1300" w:type="dxa"/>
          </w:tcPr>
          <w:p>
            <w:r>
              <w:t xml:space="preserve">0.98</w:t>
            </w:r>
          </w:p>
        </w:tc>
        <w:tc>
          <w:tcPr>
            <w:tcW w:w="1700" w:type="dxa"/>
          </w:tcPr>
          <w:p>
            <w:r>
              <w:t xml:space="preserve">-0.32</w:t>
            </w:r>
          </w:p>
        </w:tc>
        <w:tc>
          <w:tcPr>
            <w:tcW w:w="1600" w:type="dxa"/>
          </w:tcPr>
          <w:p>
            <w:r>
              <w:t xml:space="preserve">+0.10</w:t>
            </w:r>
          </w:p>
        </w:tc>
      </w:tr>
      <w:tr>
        <w:trPr>
          <w:cantSplit/>
        </w:trPr>
        <w:tc>
          <w:tcPr>
            <w:tcW w:w="3100" w:type="dxa"/>
          </w:tcPr>
          <w:p>
            <w:r>
              <w:t xml:space="preserve">Bicubic interpolation</w:t>
            </w:r>
          </w:p>
        </w:tc>
        <w:tc>
          <w:tcPr>
            <w:tcW w:w="1200" w:type="dxa"/>
          </w:tcPr>
          <w:p>
            <w:r>
              <w:t xml:space="preserve">0.40</w:t>
            </w:r>
          </w:p>
        </w:tc>
        <w:tc>
          <w:tcPr>
            <w:tcW w:w="1000" w:type="dxa"/>
          </w:tcPr>
          <w:p>
            <w:r>
              <w:t xml:space="preserve">0.991</w:t>
            </w:r>
          </w:p>
        </w:tc>
        <w:tc>
          <w:tcPr>
            <w:tcW w:w="1300" w:type="dxa"/>
          </w:tcPr>
          <w:p>
            <w:r>
              <w:t xml:space="preserve">0.99</w:t>
            </w:r>
          </w:p>
        </w:tc>
        <w:tc>
          <w:tcPr>
            <w:tcW w:w="1700" w:type="dxa"/>
          </w:tcPr>
          <w:p>
            <w:r>
              <w:t xml:space="preserve">-0.17</w:t>
            </w:r>
          </w:p>
        </w:tc>
        <w:tc>
          <w:tcPr>
            <w:tcW w:w="1600" w:type="dxa"/>
          </w:tcPr>
          <w:p>
            <w:r>
              <w:t xml:space="preserve">+0.06</w:t>
            </w:r>
          </w:p>
        </w:tc>
      </w:tr>
      <w:tr>
        <w:trPr>
          <w:cantSplit/>
        </w:trPr>
        <w:tc>
          <w:tcPr>
            <w:tcW w:w="3100" w:type="dxa"/>
          </w:tcPr>
          <w:p>
            <w:r>
              <w:t xml:space="preserve">Regression (production method)</w:t>
            </w:r>
          </w:p>
        </w:tc>
        <w:tc>
          <w:tcPr>
            <w:tcW w:w="1200" w:type="dxa"/>
          </w:tcPr>
          <w:p>
            <w:r>
              <w:t xml:space="preserve">1.14</w:t>
            </w:r>
          </w:p>
        </w:tc>
        <w:tc>
          <w:tcPr>
            <w:tcW w:w="1000" w:type="dxa"/>
          </w:tcPr>
          <w:p>
            <w:r>
              <w:t xml:space="preserve">0.931</w:t>
            </w:r>
          </w:p>
        </w:tc>
        <w:tc>
          <w:tcPr>
            <w:tcW w:w="1300" w:type="dxa"/>
          </w:tcPr>
          <w:p>
            <w:r>
              <w:t xml:space="preserve">1.01</w:t>
            </w:r>
          </w:p>
        </w:tc>
        <w:tc>
          <w:tcPr>
            <w:tcW w:w="1700" w:type="dxa"/>
          </w:tcPr>
          <w:p>
            <w:r>
              <w:t xml:space="preserve">-0.25</w:t>
            </w:r>
          </w:p>
        </w:tc>
        <w:tc>
          <w:tcPr>
            <w:tcW w:w="1600" w:type="dxa"/>
          </w:tcPr>
          <w:p>
            <w:r>
              <w:t xml:space="preserve">+0.04</w:t>
            </w:r>
          </w:p>
        </w:tc>
      </w:tr>
    </w:tbl>
    <w:p/>
    <w:p>
      <w:r>
        <w:t xml:space="preserve">Spread ratio is the standard deviation of the reconstruction divided by that of the truth; below 1 means the method smooths the temperature field. A negative error in the hottest 10% of pixels means the method under-reads peak heat.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900"/>
        <w:gridCol w:w="3000"/>
        <w:gridCol w:w="3000"/>
      </w:tblGrid>
      <w:tr>
        <w:trPr>
          <w:tblHeader/>
        </w:trPr>
        <w:tc>
          <w:tcPr>
            <w:tcW w:w="3900" w:type="dxa"/>
            <w:shd w:val="clear" w:color="auto" w:fill="E2E8F0"/>
          </w:tcPr>
          <w:p>
            <w:r>
              <w:t xml:space="preserve">Comparison (RMSE difference, °C)</w:t>
            </w:r>
          </w:p>
        </w:tc>
        <w:tc>
          <w:tcPr>
            <w:tcW w:w="3000" w:type="dxa"/>
            <w:shd w:val="clear" w:color="auto" w:fill="E2E8F0"/>
          </w:tcPr>
          <w:p>
            <w:r>
              <w:t xml:space="preserve">360 m to 120 m</w:t>
            </w:r>
          </w:p>
        </w:tc>
        <w:tc>
          <w:tcPr>
            <w:tcW w:w="3000" w:type="dxa"/>
            <w:shd w:val="clear" w:color="auto" w:fill="E2E8F0"/>
          </w:tcPr>
          <w:p>
            <w:r>
              <w:t xml:space="preserve">90 m to 30 m</w:t>
            </w:r>
          </w:p>
        </w:tc>
      </w:tr>
      <w:tr>
        <w:trPr>
          <w:cantSplit/>
        </w:trPr>
        <w:tc>
          <w:tcPr>
            <w:tcW w:w="3900" w:type="dxa"/>
          </w:tcPr>
          <w:p>
            <w:r>
              <w:t xml:space="preserve">Regression minus bicubic</w:t>
            </w:r>
          </w:p>
        </w:tc>
        <w:tc>
          <w:tcPr>
            <w:tcW w:w="3000" w:type="dxa"/>
          </w:tcPr>
          <w:p>
            <w:r>
              <w:t xml:space="preserve">+0.10 (+0.07 to +0.13)</w:t>
            </w:r>
          </w:p>
        </w:tc>
        <w:tc>
          <w:tcPr>
            <w:tcW w:w="3000" w:type="dxa"/>
          </w:tcPr>
          <w:p>
            <w:r>
              <w:t xml:space="preserve">+0.74 (+0.72 to +0.76)</w:t>
            </w:r>
          </w:p>
        </w:tc>
      </w:tr>
      <w:tr>
        <w:trPr>
          <w:cantSplit/>
        </w:trPr>
        <w:tc>
          <w:tcPr>
            <w:tcW w:w="3900" w:type="dxa"/>
          </w:tcPr>
          <w:p>
            <w:r>
              <w:t xml:space="preserve">Regression minus nearest</w:t>
            </w:r>
          </w:p>
        </w:tc>
        <w:tc>
          <w:tcPr>
            <w:tcW w:w="3000" w:type="dxa"/>
          </w:tcPr>
          <w:p>
            <w:r>
              <w:t xml:space="preserve">-0.20 (-0.23 to -0.16)</w:t>
            </w:r>
          </w:p>
        </w:tc>
        <w:tc>
          <w:tcPr>
            <w:tcW w:w="3000" w:type="dxa"/>
          </w:tcPr>
          <w:p>
            <w:r>
              <w:t xml:space="preserve">+0.47 (+0.45 to +0.49)</w:t>
            </w:r>
          </w:p>
        </w:tc>
      </w:tr>
      <w:tr>
        <w:trPr>
          <w:cantSplit/>
        </w:trPr>
        <w:tc>
          <w:tcPr>
            <w:tcW w:w="3900" w:type="dxa"/>
          </w:tcPr>
          <w:p>
            <w:r>
              <w:t xml:space="preserve">Bicubic minus nearest</w:t>
            </w:r>
          </w:p>
        </w:tc>
        <w:tc>
          <w:tcPr>
            <w:tcW w:w="3000" w:type="dxa"/>
          </w:tcPr>
          <w:p>
            <w:r>
              <w:t xml:space="preserve">-0.30 (-0.32 to -0.28)</w:t>
            </w:r>
          </w:p>
        </w:tc>
        <w:tc>
          <w:tcPr>
            <w:tcW w:w="3000" w:type="dxa"/>
          </w:tcPr>
          <w:p>
            <w:r>
              <w:t xml:space="preserve">-0.27 (-0.27 to -0.26)</w:t>
            </w:r>
          </w:p>
        </w:tc>
      </w:tr>
    </w:tbl>
    <w:p/>
    <w:p>
      <w:r>
        <w:t xml:space="preserve">Bicubic interpolation is the most accurate method at both scales. The regression method beats copying the coarse value at the fairer scale but is less accurate than bicubic at both. Its strength is at the extremes: at 360 m to 120 m it keeps the full spread of temperatures (ratio 0.99 against 0.94), under-reads the hottest pixels less (-0.94 °C against -1.06 °C) and has almost no bias in the coolest pixels. Overall, the extra detail it adds is not more accurate than interpolation.</w:t>
      </w:r>
    </w:p>
    <w:p>
      <w:r>
        <w:t xml:space="preserve">Cross-check: the 90 m to 30 m pair was also run entirely in Earth Engine, with Earth Engine's own interpolation and a 20,000-pixel sample. It gave the same ordering (bicubic RMSE 0.41 °C, regression 1.26 °C).</w:t>
      </w:r>
    </w:p>
    <w:p>
      <w:pPr>
        <w:pStyle w:val="Heading2"/>
      </w:pPr>
      <w:r>
        <w:t xml:space="preserve">2.4 Ablations and controlled comparisons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600"/>
        <w:gridCol w:w="2400"/>
        <w:gridCol w:w="1500"/>
        <w:gridCol w:w="1500"/>
        <w:gridCol w:w="2900"/>
      </w:tblGrid>
      <w:tr>
        <w:trPr>
          <w:tblHeader/>
        </w:trPr>
        <w:tc>
          <w:tcPr>
            <w:tcW w:w="1600" w:type="dxa"/>
            <w:shd w:val="clear" w:color="auto" w:fill="E2E8F0"/>
          </w:tcPr>
          <w:p>
            <w:r>
              <w:t xml:space="preserve">Component tested</w:t>
            </w:r>
          </w:p>
        </w:tc>
        <w:tc>
          <w:tcPr>
            <w:tcW w:w="2400" w:type="dxa"/>
            <w:shd w:val="clear" w:color="auto" w:fill="E2E8F0"/>
          </w:tcPr>
          <w:p>
            <w:r>
              <w:t xml:space="preserve">Comparison</w:t>
            </w:r>
          </w:p>
        </w:tc>
        <w:tc>
          <w:tcPr>
            <w:tcW w:w="1500" w:type="dxa"/>
            <w:shd w:val="clear" w:color="auto" w:fill="E2E8F0"/>
          </w:tcPr>
          <w:p>
            <w:r>
              <w:t xml:space="preserve">360 m to 120 m</w:t>
            </w:r>
          </w:p>
        </w:tc>
        <w:tc>
          <w:tcPr>
            <w:tcW w:w="1500" w:type="dxa"/>
            <w:shd w:val="clear" w:color="auto" w:fill="E2E8F0"/>
          </w:tcPr>
          <w:p>
            <w:r>
              <w:t xml:space="preserve">90 m to 30 m</w:t>
            </w:r>
          </w:p>
        </w:tc>
        <w:tc>
          <w:tcPr>
            <w:tcW w:w="2900" w:type="dxa"/>
            <w:shd w:val="clear" w:color="auto" w:fill="E2E8F0"/>
          </w:tcPr>
          <w:p>
            <w:r>
              <w:t xml:space="preserve">Conclusion</w:t>
            </w:r>
          </w:p>
        </w:tc>
      </w:tr>
      <w:tr>
        <w:trPr>
          <w:cantSplit/>
        </w:trPr>
        <w:tc>
          <w:tcPr>
            <w:tcW w:w="1600" w:type="dxa"/>
          </w:tcPr>
          <w:p>
            <w:r>
              <w:t xml:space="preserve">Residual correction</w:t>
            </w:r>
          </w:p>
        </w:tc>
        <w:tc>
          <w:tcPr>
            <w:tcW w:w="2400" w:type="dxa"/>
          </w:tcPr>
          <w:p>
            <w:r>
              <w:t xml:space="preserve">Regression with vs without the residual step (RMSE, °C)</w:t>
            </w:r>
          </w:p>
        </w:tc>
        <w:tc>
          <w:tcPr>
            <w:tcW w:w="1500" w:type="dxa"/>
          </w:tcPr>
          <w:p>
            <w:r>
              <w:t xml:space="preserve">1.31 vs 2.83</w:t>
            </w:r>
          </w:p>
        </w:tc>
        <w:tc>
          <w:tcPr>
            <w:tcW w:w="1500" w:type="dxa"/>
          </w:tcPr>
          <w:p>
            <w:r>
              <w:t xml:space="preserve">1.14 vs 3.47</w:t>
            </w:r>
          </w:p>
        </w:tc>
        <w:tc>
          <w:tcPr>
            <w:tcW w:w="2900" w:type="dxa"/>
          </w:tcPr>
          <w:p>
            <w:r>
              <w:t xml:space="preserve">Essential. Without it, error more than doubles and the hottest pixels are under-read by about 5 °C or more.</w:t>
            </w:r>
          </w:p>
        </w:tc>
      </w:tr>
      <w:tr>
        <w:trPr>
          <w:cantSplit/>
        </w:trPr>
        <w:tc>
          <w:tcPr>
            <w:tcW w:w="1600" w:type="dxa"/>
          </w:tcPr>
          <w:p>
            <w:r>
              <w:t xml:space="preserve">Predictor set</w:t>
            </w:r>
          </w:p>
        </w:tc>
        <w:tc>
          <w:tcPr>
            <w:tcW w:w="2400" w:type="dxa"/>
          </w:tcPr>
          <w:p>
            <w:r>
              <w:t xml:space="preserve">NDVI + NDBI + NDWI vs NDVI only (RMSE, °C)</w:t>
            </w:r>
          </w:p>
        </w:tc>
        <w:tc>
          <w:tcPr>
            <w:tcW w:w="1500" w:type="dxa"/>
          </w:tcPr>
          <w:p>
            <w:r>
              <w:t xml:space="preserve">1.31 vs 1.90</w:t>
            </w:r>
          </w:p>
        </w:tc>
        <w:tc>
          <w:tcPr>
            <w:tcW w:w="1500" w:type="dxa"/>
          </w:tcPr>
          <w:p>
            <w:r>
              <w:t xml:space="preserve">1.14 vs 0.99</w:t>
            </w:r>
          </w:p>
        </w:tc>
        <w:tc>
          <w:tcPr>
            <w:tcW w:w="2900" w:type="dxa"/>
          </w:tcPr>
          <w:p>
            <w:r>
              <w:t xml:space="preserve">Inconsistent: three indices are better at 120 m, NDVI alone at 30 m. No evidence for either.</w:t>
            </w:r>
          </w:p>
        </w:tc>
      </w:tr>
      <w:tr>
        <w:trPr>
          <w:cantSplit/>
        </w:trPr>
        <w:tc>
          <w:tcPr>
            <w:tcW w:w="1600" w:type="dxa"/>
          </w:tcPr>
          <w:p>
            <w:r>
              <w:t xml:space="preserve">Interpolation kernel</w:t>
            </w:r>
          </w:p>
        </w:tc>
        <w:tc>
          <w:tcPr>
            <w:tcW w:w="2400" w:type="dxa"/>
          </w:tcPr>
          <w:p>
            <w:r>
              <w:t xml:space="preserve">Bicubic vs bilinear vs nearest (RMSE, °C)</w:t>
            </w:r>
          </w:p>
        </w:tc>
        <w:tc>
          <w:tcPr>
            <w:tcW w:w="1500" w:type="dxa"/>
          </w:tcPr>
          <w:p>
            <w:r>
              <w:t xml:space="preserve">1.21 / 1.36 / 1.51</w:t>
            </w:r>
          </w:p>
        </w:tc>
        <w:tc>
          <w:tcPr>
            <w:tcW w:w="1500" w:type="dxa"/>
          </w:tcPr>
          <w:p>
            <w:r>
              <w:t xml:space="preserve">0.40 / 0.49 / 0.67</w:t>
            </w:r>
          </w:p>
        </w:tc>
        <w:tc>
          <w:tcPr>
            <w:tcW w:w="2900" w:type="dxa"/>
          </w:tcPr>
          <w:p>
            <w:r>
              <w:t xml:space="preserve">Bicubic is the most accurate at both scales.</w:t>
            </w:r>
          </w:p>
        </w:tc>
      </w:tr>
    </w:tbl>
    <w:p/>
    <w:p>
      <w:r>
        <w:t xml:space="preserve">Subzone-level smoothing check: the largest difference between a 10 m layer's subzone mean and the 30 m mean is 0.05 °C (bicubic) and 0.21 °C (regression). In the hottest 10% of subzones the mean difference is 0.000 °C and -0.003 °C, so neither 10 m layer flattens the hottest subzones.</w:t>
      </w:r>
    </w:p>
    <w:p>
      <w:pPr>
        <w:pStyle w:val="Heading2"/>
      </w:pPr>
      <w:r>
        <w:t xml:space="preserve">2.5 Decision impact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000"/>
        <w:gridCol w:w="2000"/>
        <w:gridCol w:w="2600"/>
        <w:gridCol w:w="2300"/>
      </w:tblGrid>
      <w:tr>
        <w:trPr>
          <w:tblHeader/>
        </w:trPr>
        <w:tc>
          <w:tcPr>
            <w:tcW w:w="3000" w:type="dxa"/>
            <w:shd w:val="clear" w:color="auto" w:fill="E2E8F0"/>
          </w:tcPr>
          <w:p>
            <w:r>
              <w:t xml:space="preserve">Heat layer used in the score</w:t>
            </w:r>
          </w:p>
        </w:tc>
        <w:tc>
          <w:tcPr>
            <w:tcW w:w="2000" w:type="dxa"/>
            <w:shd w:val="clear" w:color="auto" w:fill="E2E8F0"/>
          </w:tcPr>
          <w:p>
            <w:r>
              <w:t xml:space="preserve">Weighting</w:t>
            </w:r>
          </w:p>
        </w:tc>
        <w:tc>
          <w:tcPr>
            <w:tcW w:w="2600" w:type="dxa"/>
            <w:shd w:val="clear" w:color="auto" w:fill="E2E8F0"/>
          </w:tcPr>
          <w:p>
            <w:r>
              <w:t xml:space="preserve">Rank correlation with reference</w:t>
            </w:r>
          </w:p>
        </w:tc>
        <w:tc>
          <w:tcPr>
            <w:tcW w:w="2300" w:type="dxa"/>
            <w:shd w:val="clear" w:color="auto" w:fill="E2E8F0"/>
          </w:tcPr>
          <w:p>
            <w:r>
              <w:t xml:space="preserve">Top-20 subzones changed</w:t>
            </w:r>
          </w:p>
        </w:tc>
      </w:tr>
      <w:tr>
        <w:trPr>
          <w:cantSplit/>
        </w:trPr>
        <w:tc>
          <w:tcPr>
            <w:tcW w:w="3000" w:type="dxa"/>
          </w:tcPr>
          <w:p>
            <w:r>
              <w:t xml:space="preserve">Bicubic 10 m</w:t>
            </w:r>
          </w:p>
        </w:tc>
        <w:tc>
          <w:tcPr>
            <w:tcW w:w="2000" w:type="dxa"/>
          </w:tcPr>
          <w:p>
            <w:r>
              <w:t xml:space="preserve">PCA weights</w:t>
            </w:r>
          </w:p>
        </w:tc>
        <w:tc>
          <w:tcPr>
            <w:tcW w:w="2600" w:type="dxa"/>
          </w:tcPr>
          <w:p>
            <w:r>
              <w:t xml:space="preserve">1.000</w:t>
            </w:r>
          </w:p>
        </w:tc>
        <w:tc>
          <w:tcPr>
            <w:tcW w:w="2300" w:type="dxa"/>
          </w:tcPr>
          <w:p>
            <w:r>
              <w:t xml:space="preserve">0</w:t>
            </w:r>
          </w:p>
        </w:tc>
      </w:tr>
      <w:tr>
        <w:trPr>
          <w:cantSplit/>
        </w:trPr>
        <w:tc>
          <w:tcPr>
            <w:tcW w:w="3000" w:type="dxa"/>
          </w:tcPr>
          <w:p>
            <w:r>
              <w:t xml:space="preserve">Bicubic 10 m</w:t>
            </w:r>
          </w:p>
        </w:tc>
        <w:tc>
          <w:tcPr>
            <w:tcW w:w="2000" w:type="dxa"/>
          </w:tcPr>
          <w:p>
            <w:r>
              <w:t xml:space="preserve">Equal weights</w:t>
            </w:r>
          </w:p>
        </w:tc>
        <w:tc>
          <w:tcPr>
            <w:tcW w:w="2600" w:type="dxa"/>
          </w:tcPr>
          <w:p>
            <w:r>
              <w:t xml:space="preserve">1.000</w:t>
            </w:r>
          </w:p>
        </w:tc>
        <w:tc>
          <w:tcPr>
            <w:tcW w:w="2300" w:type="dxa"/>
          </w:tcPr>
          <w:p>
            <w:r>
              <w:t xml:space="preserve">0</w:t>
            </w:r>
          </w:p>
        </w:tc>
      </w:tr>
      <w:tr>
        <w:trPr>
          <w:cantSplit/>
        </w:trPr>
        <w:tc>
          <w:tcPr>
            <w:tcW w:w="3000" w:type="dxa"/>
          </w:tcPr>
          <w:p>
            <w:r>
              <w:t xml:space="preserve">Regression 10 m</w:t>
            </w:r>
          </w:p>
        </w:tc>
        <w:tc>
          <w:tcPr>
            <w:tcW w:w="2000" w:type="dxa"/>
          </w:tcPr>
          <w:p>
            <w:r>
              <w:t xml:space="preserve">PCA weights</w:t>
            </w:r>
          </w:p>
        </w:tc>
        <w:tc>
          <w:tcPr>
            <w:tcW w:w="2600" w:type="dxa"/>
          </w:tcPr>
          <w:p>
            <w:r>
              <w:t xml:space="preserve">1.000</w:t>
            </w:r>
          </w:p>
        </w:tc>
        <w:tc>
          <w:tcPr>
            <w:tcW w:w="2300" w:type="dxa"/>
          </w:tcPr>
          <w:p>
            <w:r>
              <w:t xml:space="preserve">0</w:t>
            </w:r>
          </w:p>
        </w:tc>
      </w:tr>
      <w:tr>
        <w:trPr>
          <w:cantSplit/>
        </w:trPr>
        <w:tc>
          <w:tcPr>
            <w:tcW w:w="3000" w:type="dxa"/>
          </w:tcPr>
          <w:p>
            <w:r>
              <w:t xml:space="preserve">Regression 10 m</w:t>
            </w:r>
          </w:p>
        </w:tc>
        <w:tc>
          <w:tcPr>
            <w:tcW w:w="2000" w:type="dxa"/>
          </w:tcPr>
          <w:p>
            <w:r>
              <w:t xml:space="preserve">Equal weights</w:t>
            </w:r>
          </w:p>
        </w:tc>
        <w:tc>
          <w:tcPr>
            <w:tcW w:w="2600" w:type="dxa"/>
          </w:tcPr>
          <w:p>
            <w:r>
              <w:t xml:space="preserve">1.000</w:t>
            </w:r>
          </w:p>
        </w:tc>
        <w:tc>
          <w:tcPr>
            <w:tcW w:w="2300" w:type="dxa"/>
          </w:tcPr>
          <w:p>
            <w:r>
              <w:t xml:space="preserve">0</w:t>
            </w:r>
          </w:p>
        </w:tc>
      </w:tr>
    </w:tbl>
    <w:p/>
    <w:p>
      <w:r>
        <w:t xml:space="preserve">No heat layer changes the top 20, against a measurement-noise floor of 10.9 subzones. This follows from the method: the residual step approximately preserves each 30 m block's mean, so subzone averages, which are all the score uses, barely change. Higher resolution would matter only for decisions below subzone level, which this project does not rank.</w:t>
      </w:r>
    </w:p>
    <w:p>
      <w:pPr>
        <w:pStyle w:val="Heading2"/>
      </w:pPr>
      <w:r>
        <w:t xml:space="preserve">2.6 Exploratory analyses</w:t>
      </w:r>
    </w:p>
    <w:p>
      <w:r>
        <w:rPr>
          <w:b/>
        </w:rPr>
        <w:t xml:space="preserve">Season window. </w:t>
      </w:r>
      <w:r>
        <w:t xml:space="preserve">Landsat scenes under 70% cloud, 2021 to June 2026: April and May 29; October and November 16; both inter-monsoon periods together 45 (chosen); February to April 43; all months 138. The chosen window has the most scenes of the seasonal candidates. The scene counts were compared after the choice was made, so they describe the choice rather than test it.</w:t>
      </w:r>
    </w:p>
    <w:p>
      <w:r>
        <w:rPr>
          <w:b/>
        </w:rPr>
        <w:t xml:space="preserve">Land-only regression fit. </w:t>
      </w:r>
      <w:r>
        <w:t xml:space="preserve">The production regression is fitted over the whole bounding box, including sea. Fitting on land pixels only gives NDVI the expected negative sign but does not make the regression beat bicubic interpolation (360 m to 120 m RMSE 1.33 °C against 1.19 °C), so the sea pixels do not explain the result.</w:t>
      </w:r>
    </w:p>
    <w:p>
      <w:pPr>
        <w:pStyle w:val="Heading2"/>
      </w:pPr>
      <w:r>
        <w:t xml:space="preserve">2.7 Limitations</w:t>
      </w:r>
    </w:p>
    <w:p>
      <w:r>
        <w:rPr>
          <w:b/>
        </w:rPr>
        <w:t xml:space="preserve">Scale transfer. </w:t>
      </w:r>
      <w:r>
        <w:t xml:space="preserve">The skill test assumes the method behaves at 30 m to 10 m as it does one or two steps coarser. That cannot be tested without 10 m temperature data.</w:t>
      </w:r>
    </w:p>
    <w:p>
      <w:r>
        <w:rPr>
          <w:b/>
        </w:rPr>
        <w:t xml:space="preserve">Sensor resolution. </w:t>
      </w:r>
      <w:r>
        <w:t xml:space="preserve">Landsat thermal data is measured at about 100 m, so the 30 m product and both 10 m layers carry no measured temperature detail finer than that.</w:t>
      </w:r>
    </w:p>
    <w:p>
      <w:r>
        <w:rPr>
          <w:b/>
        </w:rPr>
        <w:t xml:space="preserve">Reference data. </w:t>
      </w:r>
      <w:r>
        <w:t xml:space="preserve">MODIS pixels (1 km) are larger than most subzones, so its spread is an upper bound on random error. NEA covers 12 subzones and measures air temperature.</w:t>
      </w:r>
    </w:p>
    <w:p>
      <w:r>
        <w:rPr>
          <w:b/>
        </w:rPr>
        <w:t xml:space="preserve">One composite. </w:t>
      </w:r>
      <w:r>
        <w:t xml:space="preserve">All tests use one multi-year inter-monsoon median; other seasons or single dates were not tested.</w:t>
      </w:r>
    </w:p>
    <w:p>
      <w:r>
        <w:rPr>
          <w:b/>
        </w:rPr>
        <w:t xml:space="preserve">Spatial dependence. </w:t>
      </w:r>
      <w:r>
        <w:t xml:space="preserve">The bootstrap treats 1 km blocks as independent. Errors correlated over longer distances would make the intervals somewhat too narrow; the main differences are far larger than the intervals.</w:t>
      </w:r>
    </w:p>
    <w:p>
      <w:pPr>
        <w:pStyle w:val="Heading2"/>
      </w:pPr>
      <w:r>
        <w:t xml:space="preserve">Sources</w:t>
      </w:r>
    </w:p>
    <w:p>
      <w:r>
        <w:t xml:space="preserve">Heat layers: scripts/build_heat_variants.py, src/downscaling/variants.py. Agreement: scripts/diagnose_modis_crosscheck.py. Skill test: scripts/evaluate_downscaling_skill.py, validation/input_validation/downscaling_skill.py (outputs in data/processed/diagnostics/). Decision impact and noise floor: scripts/build_priority_score.py, scripts/build_priority_score_confidence_bands.py. Season window: scripts/diagnose_season_window.py.</w:t>
      </w:r>
    </w:p>
    <w:p>
      <w:r>
        <w:br w:type="page"/>
      </w:r>
    </w:p>
    <w:p>
      <w:pPr>
        <w:pStyle w:val="Heading1"/>
      </w:pPr>
      <w:r>
        <w:t xml:space="preserve">3. Land-cover Classification</w:t>
      </w:r>
    </w:p>
    <w:p>
      <w:pPr>
        <w:pStyle w:val="Subtitle"/>
      </w:pPr>
      <w:r>
        <w:t xml:space="preserve">RF, U-Net and RF + U-Net hybrid, trained on Dynamic World labels</w:t>
      </w:r>
    </w:p>
    <w:p>
      <w:pPr>
        <w:pStyle w:val="Heading2"/>
      </w:pPr>
      <w:r>
        <w:t xml:space="preserve">Summary</w:t>
      </w:r>
    </w:p>
    <w:p>
      <w:r>
        <w:t xml:space="preserve">Land cover feeds the priority score through one number per subzone: its vegetation share, which sets the greenery (adaptive-capacity) pillar. Three classifiers were trained on Dynamic World labels and scored against 300 hand-labelled points: a random forest (RF), a U-Net, and a hybrid that averages their class probabilities.</w:t>
      </w:r>
    </w:p>
    <w:p>
      <w:r>
        <w:t xml:space="preserve">The U-Net has the highest accuracy (81.4%, 95% interval 77.0–85.8%) and is the production model. It is significantly better than RF (73.2%) but not distinguishable from the hybrid (79.1%). Switching the training labels from ESA WorldCover to Dynamic World improved all three models significantly. Texture features, smoothing RF's output and adding RF to the U-Net showed no significant benefit. For the planning output, no land-cover choice changes more of the top-20 subzones than measurement noise alone (noise floor 10.9); among classifiers, the label-source switch has the largest effect.</w:t>
      </w:r>
    </w:p>
    <w:p>
      <w:pPr>
        <w:pStyle w:val="Heading2"/>
      </w:pPr>
      <w:r>
        <w:t xml:space="preserve">3.1 Setup</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300"/>
        <w:gridCol w:w="7600"/>
      </w:tblGrid>
      <w:tr>
        <w:trPr>
          <w:tblHeader/>
        </w:trPr>
        <w:tc>
          <w:tcPr>
            <w:tcW w:w="2300" w:type="dxa"/>
            <w:shd w:val="clear" w:color="auto" w:fill="E2E8F0"/>
          </w:tcPr>
          <w:p>
            <w:r>
              <w:t xml:space="preserve">Item</w:t>
            </w:r>
          </w:p>
        </w:tc>
        <w:tc>
          <w:tcPr>
            <w:tcW w:w="7600" w:type="dxa"/>
            <w:shd w:val="clear" w:color="auto" w:fill="E2E8F0"/>
          </w:tcPr>
          <w:p>
            <w:r>
              <w:t xml:space="preserve">Setting</w:t>
            </w:r>
          </w:p>
        </w:tc>
      </w:tr>
      <w:tr>
        <w:trPr>
          <w:cantSplit/>
        </w:trPr>
        <w:tc>
          <w:tcPr>
            <w:tcW w:w="2300" w:type="dxa"/>
          </w:tcPr>
          <w:p>
            <w:r>
              <w:t xml:space="preserve">Test points</w:t>
            </w:r>
          </w:p>
        </w:tc>
        <w:tc>
          <w:tcPr>
            <w:tcW w:w="7600" w:type="dxa"/>
          </w:tcPr>
          <w:p>
            <w:r>
              <w:t xml:space="preserve">300 points labelled by hand on high-resolution imagery: 160 built-up, 107 vegetation, 21 water, 11 bare; 1 flagged uncertain and excluded.</w:t>
            </w:r>
          </w:p>
        </w:tc>
      </w:tr>
      <w:tr>
        <w:trPr>
          <w:cantSplit/>
        </w:trPr>
        <w:tc>
          <w:tcPr>
            <w:tcW w:w="2300" w:type="dxa"/>
          </w:tcPr>
          <w:p>
            <w:r>
              <w:t xml:space="preserve">Sampling</w:t>
            </w:r>
          </w:p>
        </w:tc>
        <w:tc>
          <w:tcPr>
            <w:tcW w:w="7600" w:type="dxa"/>
          </w:tcPr>
          <w:p>
            <w:r>
              <w:t xml:space="preserve">Drawn by WorldCover class, with vegetation over-sampled. Accuracies are unweighted over the sample, not area-weighted estimates for the whole island.</w:t>
            </w:r>
          </w:p>
        </w:tc>
      </w:tr>
      <w:tr>
        <w:trPr>
          <w:cantSplit/>
        </w:trPr>
        <w:tc>
          <w:tcPr>
            <w:tcW w:w="2300" w:type="dxa"/>
          </w:tcPr>
          <w:p>
            <w:r>
              <w:t xml:space="preserve">Independence</w:t>
            </w:r>
          </w:p>
        </w:tc>
        <w:tc>
          <w:tcPr>
            <w:tcW w:w="7600" w:type="dxa"/>
          </w:tcPr>
          <w:p>
            <w:r>
              <w:t xml:space="preserve">Every model's training data excludes a 15 m buffer around every test point.</w:t>
            </w:r>
          </w:p>
        </w:tc>
      </w:tr>
      <w:tr>
        <w:trPr>
          <w:cantSplit/>
        </w:trPr>
        <w:tc>
          <w:tcPr>
            <w:tcW w:w="2300" w:type="dxa"/>
          </w:tcPr>
          <w:p>
            <w:r>
              <w:t xml:space="preserve">Label quality</w:t>
            </w:r>
          </w:p>
        </w:tc>
        <w:tc>
          <w:tcPr>
            <w:tcW w:w="7600" w:type="dxa"/>
          </w:tcPr>
          <w:p>
            <w:r>
              <w:t xml:space="preserve">Two labellers agreed with kappa 0.676 on a 20-point trial.</w:t>
            </w:r>
          </w:p>
        </w:tc>
      </w:tr>
      <w:tr>
        <w:trPr>
          <w:cantSplit/>
        </w:trPr>
        <w:tc>
          <w:tcPr>
            <w:tcW w:w="2300" w:type="dxa"/>
          </w:tcPr>
          <w:p>
            <w:r>
              <w:t xml:space="preserve">Points scored</w:t>
            </w:r>
          </w:p>
        </w:tc>
        <w:tc>
          <w:tcPr>
            <w:tcW w:w="7600" w:type="dxa"/>
          </w:tcPr>
          <w:p>
            <w:r>
              <w:t xml:space="preserve">299 for RF; 296 for the U-Net and hybrid (3 points fall outside the U-Net's mapped area).</w:t>
            </w:r>
          </w:p>
        </w:tc>
      </w:tr>
      <w:tr>
        <w:trPr>
          <w:cantSplit/>
        </w:trPr>
        <w:tc>
          <w:tcPr>
            <w:tcW w:w="2300" w:type="dxa"/>
          </w:tcPr>
          <w:p>
            <w:r>
              <w:t xml:space="preserve">Statistics</w:t>
            </w:r>
          </w:p>
        </w:tc>
        <w:tc>
          <w:tcPr>
            <w:tcW w:w="7600" w:type="dxa"/>
          </w:tcPr>
          <w:p>
            <w:r>
              <w:t xml:space="preserve">95% accuracy intervals from 4,000 bootstrap resamples; exact McNemar tests on paired predictions.</w:t>
            </w:r>
          </w:p>
        </w:tc>
      </w:tr>
      <w:tr>
        <w:trPr>
          <w:cantSplit/>
        </w:trPr>
        <w:tc>
          <w:tcPr>
            <w:tcW w:w="2300" w:type="dxa"/>
          </w:tcPr>
          <w:p>
            <w:r>
              <w:t xml:space="preserve">Record</w:t>
            </w:r>
          </w:p>
        </w:tc>
        <w:tc>
          <w:tcPr>
            <w:tcW w:w="7600" w:type="dxa"/>
          </w:tcPr>
          <w:p>
            <w:r>
              <w:t xml:space="preserve">MLflow experiment landcover_classifiers, batch landcover_eval_final_2026-09-29c. Production map: U-Net, SHA-256 dc33f409…</w:t>
            </w:r>
          </w:p>
        </w:tc>
      </w:tr>
    </w:tbl>
    <w:p/>
    <w:p>
      <w:pPr>
        <w:pStyle w:val="Heading2"/>
      </w:pPr>
      <w:r>
        <w:t xml:space="preserve">3.2 Evaluation of the final models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000"/>
        <w:gridCol w:w="1400"/>
        <w:gridCol w:w="1700"/>
        <w:gridCol w:w="1400"/>
        <w:gridCol w:w="2400"/>
      </w:tblGrid>
      <w:tr>
        <w:trPr>
          <w:tblHeader/>
        </w:trPr>
        <w:tc>
          <w:tcPr>
            <w:tcW w:w="3000" w:type="dxa"/>
            <w:shd w:val="clear" w:color="auto" w:fill="E2E8F0"/>
          </w:tcPr>
          <w:p>
            <w:r>
              <w:t xml:space="preserve">Model (Dynamic World labels)</w:t>
            </w:r>
          </w:p>
        </w:tc>
        <w:tc>
          <w:tcPr>
            <w:tcW w:w="1400" w:type="dxa"/>
            <w:shd w:val="clear" w:color="auto" w:fill="E2E8F0"/>
          </w:tcPr>
          <w:p>
            <w:r>
              <w:t xml:space="preserve">Accuracy</w:t>
            </w:r>
          </w:p>
        </w:tc>
        <w:tc>
          <w:tcPr>
            <w:tcW w:w="1700" w:type="dxa"/>
            <w:shd w:val="clear" w:color="auto" w:fill="E2E8F0"/>
          </w:tcPr>
          <w:p>
            <w:r>
              <w:t xml:space="preserve">95% interval</w:t>
            </w:r>
          </w:p>
        </w:tc>
        <w:tc>
          <w:tcPr>
            <w:tcW w:w="1400" w:type="dxa"/>
            <w:shd w:val="clear" w:color="auto" w:fill="E2E8F0"/>
          </w:tcPr>
          <w:p>
            <w:r>
              <w:t xml:space="preserve">Macro F1</w:t>
            </w:r>
          </w:p>
        </w:tc>
        <w:tc>
          <w:tcPr>
            <w:tcW w:w="2400" w:type="dxa"/>
            <w:shd w:val="clear" w:color="auto" w:fill="E2E8F0"/>
          </w:tcPr>
          <w:p>
            <w:r>
              <w:t xml:space="preserve">Role</w:t>
            </w:r>
          </w:p>
        </w:tc>
      </w:tr>
      <w:tr>
        <w:trPr>
          <w:cantSplit/>
        </w:trPr>
        <w:tc>
          <w:tcPr>
            <w:tcW w:w="3000" w:type="dxa"/>
          </w:tcPr>
          <w:p>
            <w:r>
              <w:t xml:space="preserve">U-Net</w:t>
            </w:r>
          </w:p>
        </w:tc>
        <w:tc>
          <w:tcPr>
            <w:tcW w:w="1400" w:type="dxa"/>
          </w:tcPr>
          <w:p>
            <w:r>
              <w:t xml:space="preserve">81.4%</w:t>
            </w:r>
          </w:p>
        </w:tc>
        <w:tc>
          <w:tcPr>
            <w:tcW w:w="1700" w:type="dxa"/>
          </w:tcPr>
          <w:p>
            <w:r>
              <w:t xml:space="preserve">77.0–85.8</w:t>
            </w:r>
          </w:p>
        </w:tc>
        <w:tc>
          <w:tcPr>
            <w:tcW w:w="1400" w:type="dxa"/>
          </w:tcPr>
          <w:p>
            <w:r>
              <w:t xml:space="preserve">0.720</w:t>
            </w:r>
          </w:p>
        </w:tc>
        <w:tc>
          <w:tcPr>
            <w:tcW w:w="2400" w:type="dxa"/>
          </w:tcPr>
          <w:p>
            <w:r>
              <w:t xml:space="preserve">Production model</w:t>
            </w:r>
          </w:p>
        </w:tc>
      </w:tr>
      <w:tr>
        <w:trPr>
          <w:cantSplit/>
        </w:trPr>
        <w:tc>
          <w:tcPr>
            <w:tcW w:w="3000" w:type="dxa"/>
          </w:tcPr>
          <w:p>
            <w:r>
              <w:t xml:space="preserve">Hybrid (50% RF, 50% U-Net)</w:t>
            </w:r>
          </w:p>
        </w:tc>
        <w:tc>
          <w:tcPr>
            <w:tcW w:w="1400" w:type="dxa"/>
          </w:tcPr>
          <w:p>
            <w:r>
              <w:t xml:space="preserve">79.1%</w:t>
            </w:r>
          </w:p>
        </w:tc>
        <w:tc>
          <w:tcPr>
            <w:tcW w:w="1700" w:type="dxa"/>
          </w:tcPr>
          <w:p>
            <w:r>
              <w:t xml:space="preserve">74.3–83.4</w:t>
            </w:r>
          </w:p>
        </w:tc>
        <w:tc>
          <w:tcPr>
            <w:tcW w:w="1400" w:type="dxa"/>
          </w:tcPr>
          <w:p>
            <w:r>
              <w:t xml:space="preserve">0.703</w:t>
            </w:r>
          </w:p>
        </w:tc>
        <w:tc>
          <w:tcPr>
            <w:tcW w:w="2400" w:type="dxa"/>
          </w:tcPr>
          <w:p>
            <w:r>
              <w:t xml:space="preserve">Comparison</w:t>
            </w:r>
          </w:p>
        </w:tc>
      </w:tr>
      <w:tr>
        <w:trPr>
          <w:cantSplit/>
        </w:trPr>
        <w:tc>
          <w:tcPr>
            <w:tcW w:w="3000" w:type="dxa"/>
          </w:tcPr>
          <w:p>
            <w:r>
              <w:t xml:space="preserve">RF</w:t>
            </w:r>
          </w:p>
        </w:tc>
        <w:tc>
          <w:tcPr>
            <w:tcW w:w="1400" w:type="dxa"/>
          </w:tcPr>
          <w:p>
            <w:r>
              <w:t xml:space="preserve">73.2%</w:t>
            </w:r>
          </w:p>
        </w:tc>
        <w:tc>
          <w:tcPr>
            <w:tcW w:w="1700" w:type="dxa"/>
          </w:tcPr>
          <w:p>
            <w:r>
              <w:t xml:space="preserve">68.2–78.3</w:t>
            </w:r>
          </w:p>
        </w:tc>
        <w:tc>
          <w:tcPr>
            <w:tcW w:w="1400" w:type="dxa"/>
          </w:tcPr>
          <w:p>
            <w:r>
              <w:t xml:space="preserve">0.650</w:t>
            </w:r>
          </w:p>
        </w:tc>
        <w:tc>
          <w:tcPr>
            <w:tcW w:w="2400" w:type="dxa"/>
          </w:tcPr>
          <w:p>
            <w:r>
              <w:t xml:space="preserve">Baseline</w:t>
            </w:r>
          </w:p>
        </w:tc>
      </w:tr>
    </w:tbl>
    <w:p/>
    <w:p>
      <w:r>
        <w:t xml:space="preserve">U-Net against RF: 39 vs 14; p &lt; 0.001 (points correct only for the U-Net vs only for RF). U-Net against the hybrid: 16 vs 9; p 0.23, not significant. The U-Net was chosen for its higher observed accuracy and simpler single-model deployment; the test set cannot separate it from the hybrid.</w:t>
      </w:r>
    </w:p>
    <w:p>
      <w:r>
        <w:t xml:space="preserve">The U-Net's 89.8% validation accuracy during training measures agreement with Dynamic World labels on held-out patches, not with human labels, and is not reported as accuracy.</w:t>
      </w:r>
    </w:p>
    <w:p>
      <w:pPr>
        <w:pStyle w:val="Heading3"/>
      </w:pPr>
      <w:r>
        <w:t xml:space="preserve">3.2.1 Per-class results for the production U-Net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900"/>
        <w:gridCol w:w="1750"/>
        <w:gridCol w:w="1750"/>
        <w:gridCol w:w="1750"/>
        <w:gridCol w:w="1750"/>
      </w:tblGrid>
      <w:tr>
        <w:trPr>
          <w:tblHeader/>
        </w:trPr>
        <w:tc>
          <w:tcPr>
            <w:tcW w:w="2900" w:type="dxa"/>
            <w:shd w:val="clear" w:color="auto" w:fill="E2E8F0"/>
          </w:tcPr>
          <w:p>
            <w:r>
              <w:t xml:space="preserve">Class</w:t>
            </w:r>
          </w:p>
        </w:tc>
        <w:tc>
          <w:tcPr>
            <w:tcW w:w="1750" w:type="dxa"/>
            <w:shd w:val="clear" w:color="auto" w:fill="E2E8F0"/>
          </w:tcPr>
          <w:p>
            <w:r>
              <w:t xml:space="preserve">Precision</w:t>
            </w:r>
          </w:p>
        </w:tc>
        <w:tc>
          <w:tcPr>
            <w:tcW w:w="1750" w:type="dxa"/>
            <w:shd w:val="clear" w:color="auto" w:fill="E2E8F0"/>
          </w:tcPr>
          <w:p>
            <w:r>
              <w:t xml:space="preserve">Recall</w:t>
            </w:r>
          </w:p>
        </w:tc>
        <w:tc>
          <w:tcPr>
            <w:tcW w:w="1750" w:type="dxa"/>
            <w:shd w:val="clear" w:color="auto" w:fill="E2E8F0"/>
          </w:tcPr>
          <w:p>
            <w:r>
              <w:t xml:space="preserve">F1</w:t>
            </w:r>
          </w:p>
        </w:tc>
        <w:tc>
          <w:tcPr>
            <w:tcW w:w="1750" w:type="dxa"/>
            <w:shd w:val="clear" w:color="auto" w:fill="E2E8F0"/>
          </w:tcPr>
          <w:p>
            <w:r>
              <w:t xml:space="preserve">Test points</w:t>
            </w:r>
          </w:p>
        </w:tc>
      </w:tr>
      <w:tr>
        <w:trPr>
          <w:cantSplit/>
        </w:trPr>
        <w:tc>
          <w:tcPr>
            <w:tcW w:w="2900" w:type="dxa"/>
          </w:tcPr>
          <w:p>
            <w:r>
              <w:t xml:space="preserve">Vegetation</w:t>
            </w:r>
          </w:p>
        </w:tc>
        <w:tc>
          <w:tcPr>
            <w:tcW w:w="1750" w:type="dxa"/>
          </w:tcPr>
          <w:p>
            <w:r>
              <w:t xml:space="preserve">0.79</w:t>
            </w:r>
          </w:p>
        </w:tc>
        <w:tc>
          <w:tcPr>
            <w:tcW w:w="1750" w:type="dxa"/>
          </w:tcPr>
          <w:p>
            <w:r>
              <w:t xml:space="preserve">0.88</w:t>
            </w:r>
          </w:p>
        </w:tc>
        <w:tc>
          <w:tcPr>
            <w:tcW w:w="1750" w:type="dxa"/>
          </w:tcPr>
          <w:p>
            <w:r>
              <w:t xml:space="preserve">0.83</w:t>
            </w:r>
          </w:p>
        </w:tc>
        <w:tc>
          <w:tcPr>
            <w:tcW w:w="1750" w:type="dxa"/>
          </w:tcPr>
          <w:p>
            <w:r>
              <w:t xml:space="preserve">104</w:t>
            </w:r>
          </w:p>
        </w:tc>
      </w:tr>
      <w:tr>
        <w:trPr>
          <w:cantSplit/>
        </w:trPr>
        <w:tc>
          <w:tcPr>
            <w:tcW w:w="2900" w:type="dxa"/>
          </w:tcPr>
          <w:p>
            <w:r>
              <w:t xml:space="preserve">Built-up</w:t>
            </w:r>
          </w:p>
        </w:tc>
        <w:tc>
          <w:tcPr>
            <w:tcW w:w="1750" w:type="dxa"/>
          </w:tcPr>
          <w:p>
            <w:r>
              <w:t xml:space="preserve">0.88</w:t>
            </w:r>
          </w:p>
        </w:tc>
        <w:tc>
          <w:tcPr>
            <w:tcW w:w="1750" w:type="dxa"/>
          </w:tcPr>
          <w:p>
            <w:r>
              <w:t xml:space="preserve">0.80</w:t>
            </w:r>
          </w:p>
        </w:tc>
        <w:tc>
          <w:tcPr>
            <w:tcW w:w="1750" w:type="dxa"/>
          </w:tcPr>
          <w:p>
            <w:r>
              <w:t xml:space="preserve">0.84</w:t>
            </w:r>
          </w:p>
        </w:tc>
        <w:tc>
          <w:tcPr>
            <w:tcW w:w="1750" w:type="dxa"/>
          </w:tcPr>
          <w:p>
            <w:r>
              <w:t xml:space="preserve">160</w:t>
            </w:r>
          </w:p>
        </w:tc>
      </w:tr>
      <w:tr>
        <w:trPr>
          <w:cantSplit/>
        </w:trPr>
        <w:tc>
          <w:tcPr>
            <w:tcW w:w="2900" w:type="dxa"/>
          </w:tcPr>
          <w:p>
            <w:r>
              <w:t xml:space="preserve">Water</w:t>
            </w:r>
          </w:p>
        </w:tc>
        <w:tc>
          <w:tcPr>
            <w:tcW w:w="1750" w:type="dxa"/>
          </w:tcPr>
          <w:p>
            <w:r>
              <w:t xml:space="preserve">0.63</w:t>
            </w:r>
          </w:p>
        </w:tc>
        <w:tc>
          <w:tcPr>
            <w:tcW w:w="1750" w:type="dxa"/>
          </w:tcPr>
          <w:p>
            <w:r>
              <w:t xml:space="preserve">0.81</w:t>
            </w:r>
          </w:p>
        </w:tc>
        <w:tc>
          <w:tcPr>
            <w:tcW w:w="1750" w:type="dxa"/>
          </w:tcPr>
          <w:p>
            <w:r>
              <w:t xml:space="preserve">0.71</w:t>
            </w:r>
          </w:p>
        </w:tc>
        <w:tc>
          <w:tcPr>
            <w:tcW w:w="1750" w:type="dxa"/>
          </w:tcPr>
          <w:p>
            <w:r>
              <w:t xml:space="preserve">21</w:t>
            </w:r>
          </w:p>
        </w:tc>
      </w:tr>
      <w:tr>
        <w:trPr>
          <w:cantSplit/>
        </w:trPr>
        <w:tc>
          <w:tcPr>
            <w:tcW w:w="2900" w:type="dxa"/>
          </w:tcPr>
          <w:p>
            <w:r>
              <w:t xml:space="preserve">Bare</w:t>
            </w:r>
          </w:p>
        </w:tc>
        <w:tc>
          <w:tcPr>
            <w:tcW w:w="1750" w:type="dxa"/>
          </w:tcPr>
          <w:p>
            <w:r>
              <w:t xml:space="preserve">0.56</w:t>
            </w:r>
          </w:p>
        </w:tc>
        <w:tc>
          <w:tcPr>
            <w:tcW w:w="1750" w:type="dxa"/>
          </w:tcPr>
          <w:p>
            <w:r>
              <w:t xml:space="preserve">0.45</w:t>
            </w:r>
          </w:p>
        </w:tc>
        <w:tc>
          <w:tcPr>
            <w:tcW w:w="1750" w:type="dxa"/>
          </w:tcPr>
          <w:p>
            <w:r>
              <w:t xml:space="preserve">0.50</w:t>
            </w:r>
          </w:p>
        </w:tc>
        <w:tc>
          <w:tcPr>
            <w:tcW w:w="1750" w:type="dxa"/>
          </w:tcPr>
          <w:p>
            <w:r>
              <w:t xml:space="preserve">11</w:t>
            </w:r>
          </w:p>
        </w:tc>
      </w:tr>
    </w:tbl>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900"/>
        <w:gridCol w:w="1750"/>
        <w:gridCol w:w="1750"/>
        <w:gridCol w:w="1750"/>
        <w:gridCol w:w="1750"/>
      </w:tblGrid>
      <w:tr>
        <w:trPr>
          <w:tblHeader/>
        </w:trPr>
        <w:tc>
          <w:tcPr>
            <w:tcW w:w="2900" w:type="dxa"/>
            <w:shd w:val="clear" w:color="auto" w:fill="E2E8F0"/>
          </w:tcPr>
          <w:p>
            <w:r>
              <w:t xml:space="preserve">True class \ predicted</w:t>
            </w:r>
          </w:p>
        </w:tc>
        <w:tc>
          <w:tcPr>
            <w:tcW w:w="1750" w:type="dxa"/>
            <w:shd w:val="clear" w:color="auto" w:fill="E2E8F0"/>
          </w:tcPr>
          <w:p>
            <w:r>
              <w:t xml:space="preserve">Vegetation</w:t>
            </w:r>
          </w:p>
        </w:tc>
        <w:tc>
          <w:tcPr>
            <w:tcW w:w="1750" w:type="dxa"/>
            <w:shd w:val="clear" w:color="auto" w:fill="E2E8F0"/>
          </w:tcPr>
          <w:p>
            <w:r>
              <w:t xml:space="preserve">Built-up</w:t>
            </w:r>
          </w:p>
        </w:tc>
        <w:tc>
          <w:tcPr>
            <w:tcW w:w="1750" w:type="dxa"/>
            <w:shd w:val="clear" w:color="auto" w:fill="E2E8F0"/>
          </w:tcPr>
          <w:p>
            <w:r>
              <w:t xml:space="preserve">Water</w:t>
            </w:r>
          </w:p>
        </w:tc>
        <w:tc>
          <w:tcPr>
            <w:tcW w:w="1750" w:type="dxa"/>
            <w:shd w:val="clear" w:color="auto" w:fill="E2E8F0"/>
          </w:tcPr>
          <w:p>
            <w:r>
              <w:t xml:space="preserve">Bare</w:t>
            </w:r>
          </w:p>
        </w:tc>
      </w:tr>
      <w:tr>
        <w:trPr>
          <w:cantSplit/>
        </w:trPr>
        <w:tc>
          <w:tcPr>
            <w:tcW w:w="2900" w:type="dxa"/>
          </w:tcPr>
          <w:p>
            <w:r>
              <w:t xml:space="preserve">Vegetation</w:t>
            </w:r>
          </w:p>
        </w:tc>
        <w:tc>
          <w:tcPr>
            <w:tcW w:w="1750" w:type="dxa"/>
          </w:tcPr>
          <w:p>
            <w:r>
              <w:t xml:space="preserve">91</w:t>
            </w:r>
          </w:p>
        </w:tc>
        <w:tc>
          <w:tcPr>
            <w:tcW w:w="1750" w:type="dxa"/>
          </w:tcPr>
          <w:p>
            <w:r>
              <w:t xml:space="preserve">10</w:t>
            </w:r>
          </w:p>
        </w:tc>
        <w:tc>
          <w:tcPr>
            <w:tcW w:w="1750" w:type="dxa"/>
          </w:tcPr>
          <w:p>
            <w:r>
              <w:t xml:space="preserve">3</w:t>
            </w:r>
          </w:p>
        </w:tc>
        <w:tc>
          <w:tcPr>
            <w:tcW w:w="1750" w:type="dxa"/>
          </w:tcPr>
          <w:p>
            <w:r>
              <w:t xml:space="preserve">0</w:t>
            </w:r>
          </w:p>
        </w:tc>
      </w:tr>
      <w:tr>
        <w:trPr>
          <w:cantSplit/>
        </w:trPr>
        <w:tc>
          <w:tcPr>
            <w:tcW w:w="2900" w:type="dxa"/>
          </w:tcPr>
          <w:p>
            <w:r>
              <w:t xml:space="preserve">Built-up</w:t>
            </w:r>
          </w:p>
        </w:tc>
        <w:tc>
          <w:tcPr>
            <w:tcW w:w="1750" w:type="dxa"/>
          </w:tcPr>
          <w:p>
            <w:r>
              <w:t xml:space="preserve">23</w:t>
            </w:r>
          </w:p>
        </w:tc>
        <w:tc>
          <w:tcPr>
            <w:tcW w:w="1750" w:type="dxa"/>
          </w:tcPr>
          <w:p>
            <w:r>
              <w:t xml:space="preserve">128</w:t>
            </w:r>
          </w:p>
        </w:tc>
        <w:tc>
          <w:tcPr>
            <w:tcW w:w="1750" w:type="dxa"/>
          </w:tcPr>
          <w:p>
            <w:r>
              <w:t xml:space="preserve">5</w:t>
            </w:r>
          </w:p>
        </w:tc>
        <w:tc>
          <w:tcPr>
            <w:tcW w:w="1750" w:type="dxa"/>
          </w:tcPr>
          <w:p>
            <w:r>
              <w:t xml:space="preserve">4</w:t>
            </w:r>
          </w:p>
        </w:tc>
      </w:tr>
      <w:tr>
        <w:trPr>
          <w:cantSplit/>
        </w:trPr>
        <w:tc>
          <w:tcPr>
            <w:tcW w:w="2900" w:type="dxa"/>
          </w:tcPr>
          <w:p>
            <w:r>
              <w:t xml:space="preserve">Water</w:t>
            </w:r>
          </w:p>
        </w:tc>
        <w:tc>
          <w:tcPr>
            <w:tcW w:w="1750" w:type="dxa"/>
          </w:tcPr>
          <w:p>
            <w:r>
              <w:t xml:space="preserve">1</w:t>
            </w:r>
          </w:p>
        </w:tc>
        <w:tc>
          <w:tcPr>
            <w:tcW w:w="1750" w:type="dxa"/>
          </w:tcPr>
          <w:p>
            <w:r>
              <w:t xml:space="preserve">3</w:t>
            </w:r>
          </w:p>
        </w:tc>
        <w:tc>
          <w:tcPr>
            <w:tcW w:w="1750" w:type="dxa"/>
          </w:tcPr>
          <w:p>
            <w:r>
              <w:t xml:space="preserve">17</w:t>
            </w:r>
          </w:p>
        </w:tc>
        <w:tc>
          <w:tcPr>
            <w:tcW w:w="1750" w:type="dxa"/>
          </w:tcPr>
          <w:p>
            <w:r>
              <w:t xml:space="preserve">0</w:t>
            </w:r>
          </w:p>
        </w:tc>
      </w:tr>
      <w:tr>
        <w:trPr>
          <w:cantSplit/>
        </w:trPr>
        <w:tc>
          <w:tcPr>
            <w:tcW w:w="2900" w:type="dxa"/>
          </w:tcPr>
          <w:p>
            <w:r>
              <w:t xml:space="preserve">Bare</w:t>
            </w:r>
          </w:p>
        </w:tc>
        <w:tc>
          <w:tcPr>
            <w:tcW w:w="1750" w:type="dxa"/>
          </w:tcPr>
          <w:p>
            <w:r>
              <w:t xml:space="preserve">0</w:t>
            </w:r>
          </w:p>
        </w:tc>
        <w:tc>
          <w:tcPr>
            <w:tcW w:w="1750" w:type="dxa"/>
          </w:tcPr>
          <w:p>
            <w:r>
              <w:t xml:space="preserve">4</w:t>
            </w:r>
          </w:p>
        </w:tc>
        <w:tc>
          <w:tcPr>
            <w:tcW w:w="1750" w:type="dxa"/>
          </w:tcPr>
          <w:p>
            <w:r>
              <w:t xml:space="preserve">2</w:t>
            </w:r>
          </w:p>
        </w:tc>
        <w:tc>
          <w:tcPr>
            <w:tcW w:w="1750" w:type="dxa"/>
          </w:tcPr>
          <w:p>
            <w:r>
              <w:t xml:space="preserve">5</w:t>
            </w:r>
          </w:p>
        </w:tc>
      </w:tr>
    </w:tbl>
    <w:p/>
    <w:p>
      <w:r>
        <w:t xml:space="preserve">The largest error is built-up land read as vegetation (23 of 160 built-up points). It matters downstream because it inflates the greenery pillar.</w:t>
      </w:r>
    </w:p>
    <w:p>
      <w:pPr>
        <w:pStyle w:val="Heading3"/>
      </w:pPr>
      <w:r>
        <w:t xml:space="preserve">3.2.2 Vegetation against everything else</w:t>
      </w:r>
    </w:p>
    <w:p>
      <w:r>
        <w:t xml:space="preserve">Only the vegetation share of each subzone reaches the priority score, so a classifier's errors among built-up, bare and water do not affect the ranking. This table scores that distinction alone.</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500"/>
        <w:gridCol w:w="1300"/>
        <w:gridCol w:w="1600"/>
        <w:gridCol w:w="1500"/>
        <w:gridCol w:w="1400"/>
        <w:gridCol w:w="1600"/>
      </w:tblGrid>
      <w:tr>
        <w:trPr>
          <w:tblHeader/>
        </w:trPr>
        <w:tc>
          <w:tcPr>
            <w:tcW w:w="2500" w:type="dxa"/>
            <w:shd w:val="clear" w:color="auto" w:fill="E2E8F0"/>
          </w:tcPr>
          <w:p>
            <w:r>
              <w:t xml:space="preserve">Model</w:t>
            </w:r>
          </w:p>
        </w:tc>
        <w:tc>
          <w:tcPr>
            <w:tcW w:w="1300" w:type="dxa"/>
            <w:shd w:val="clear" w:color="auto" w:fill="E2E8F0"/>
          </w:tcPr>
          <w:p>
            <w:r>
              <w:t xml:space="preserve">Accuracy</w:t>
            </w:r>
          </w:p>
        </w:tc>
        <w:tc>
          <w:tcPr>
            <w:tcW w:w="1600" w:type="dxa"/>
            <w:shd w:val="clear" w:color="auto" w:fill="E2E8F0"/>
          </w:tcPr>
          <w:p>
            <w:r>
              <w:t xml:space="preserve">Vegetation precision</w:t>
            </w:r>
          </w:p>
        </w:tc>
        <w:tc>
          <w:tcPr>
            <w:tcW w:w="1500" w:type="dxa"/>
            <w:shd w:val="clear" w:color="auto" w:fill="E2E8F0"/>
          </w:tcPr>
          <w:p>
            <w:r>
              <w:t xml:space="preserve">Vegetation recall</w:t>
            </w:r>
          </w:p>
        </w:tc>
        <w:tc>
          <w:tcPr>
            <w:tcW w:w="1400" w:type="dxa"/>
            <w:shd w:val="clear" w:color="auto" w:fill="E2E8F0"/>
          </w:tcPr>
          <w:p>
            <w:r>
              <w:t xml:space="preserve">Vegetation F1</w:t>
            </w:r>
          </w:p>
        </w:tc>
        <w:tc>
          <w:tcPr>
            <w:tcW w:w="1600" w:type="dxa"/>
            <w:shd w:val="clear" w:color="auto" w:fill="E2E8F0"/>
          </w:tcPr>
          <w:p>
            <w:r>
              <w:t xml:space="preserve">Points called vegetation</w:t>
            </w:r>
          </w:p>
        </w:tc>
      </w:tr>
      <w:tr>
        <w:trPr>
          <w:cantSplit/>
        </w:trPr>
        <w:tc>
          <w:tcPr>
            <w:tcW w:w="2500" w:type="dxa"/>
          </w:tcPr>
          <w:p>
            <w:r>
              <w:t xml:space="preserve">U-Net, Dynamic World</w:t>
            </w:r>
          </w:p>
        </w:tc>
        <w:tc>
          <w:tcPr>
            <w:tcW w:w="1300" w:type="dxa"/>
          </w:tcPr>
          <w:p>
            <w:r>
              <w:t xml:space="preserve">87.5%</w:t>
            </w:r>
          </w:p>
        </w:tc>
        <w:tc>
          <w:tcPr>
            <w:tcW w:w="1600" w:type="dxa"/>
          </w:tcPr>
          <w:p>
            <w:r>
              <w:t xml:space="preserve">0.79</w:t>
            </w:r>
          </w:p>
        </w:tc>
        <w:tc>
          <w:tcPr>
            <w:tcW w:w="1500" w:type="dxa"/>
          </w:tcPr>
          <w:p>
            <w:r>
              <w:t xml:space="preserve">0.88</w:t>
            </w:r>
          </w:p>
        </w:tc>
        <w:tc>
          <w:tcPr>
            <w:tcW w:w="1400" w:type="dxa"/>
          </w:tcPr>
          <w:p>
            <w:r>
              <w:t xml:space="preserve">0.83</w:t>
            </w:r>
          </w:p>
        </w:tc>
        <w:tc>
          <w:tcPr>
            <w:tcW w:w="1600" w:type="dxa"/>
          </w:tcPr>
          <w:p>
            <w:r>
              <w:t xml:space="preserve">39%</w:t>
            </w:r>
          </w:p>
        </w:tc>
      </w:tr>
      <w:tr>
        <w:trPr>
          <w:cantSplit/>
        </w:trPr>
        <w:tc>
          <w:tcPr>
            <w:tcW w:w="2500" w:type="dxa"/>
          </w:tcPr>
          <w:p>
            <w:r>
              <w:t xml:space="preserve">Hybrid, Dynamic World</w:t>
            </w:r>
          </w:p>
        </w:tc>
        <w:tc>
          <w:tcPr>
            <w:tcW w:w="1300" w:type="dxa"/>
          </w:tcPr>
          <w:p>
            <w:r>
              <w:t xml:space="preserve">85.8%</w:t>
            </w:r>
          </w:p>
        </w:tc>
        <w:tc>
          <w:tcPr>
            <w:tcW w:w="1600" w:type="dxa"/>
          </w:tcPr>
          <w:p>
            <w:r>
              <w:t xml:space="preserve">0.77</w:t>
            </w:r>
          </w:p>
        </w:tc>
        <w:tc>
          <w:tcPr>
            <w:tcW w:w="1500" w:type="dxa"/>
          </w:tcPr>
          <w:p>
            <w:r>
              <w:t xml:space="preserve">0.86</w:t>
            </w:r>
          </w:p>
        </w:tc>
        <w:tc>
          <w:tcPr>
            <w:tcW w:w="1400" w:type="dxa"/>
          </w:tcPr>
          <w:p>
            <w:r>
              <w:t xml:space="preserve">0.81</w:t>
            </w:r>
          </w:p>
        </w:tc>
        <w:tc>
          <w:tcPr>
            <w:tcW w:w="1600" w:type="dxa"/>
          </w:tcPr>
          <w:p>
            <w:r>
              <w:t xml:space="preserve">39%</w:t>
            </w:r>
          </w:p>
        </w:tc>
      </w:tr>
      <w:tr>
        <w:trPr>
          <w:cantSplit/>
        </w:trPr>
        <w:tc>
          <w:tcPr>
            <w:tcW w:w="2500" w:type="dxa"/>
          </w:tcPr>
          <w:p>
            <w:r>
              <w:t xml:space="preserve">RF, Dynamic World</w:t>
            </w:r>
          </w:p>
        </w:tc>
        <w:tc>
          <w:tcPr>
            <w:tcW w:w="1300" w:type="dxa"/>
          </w:tcPr>
          <w:p>
            <w:r>
              <w:t xml:space="preserve">83.3%</w:t>
            </w:r>
          </w:p>
        </w:tc>
        <w:tc>
          <w:tcPr>
            <w:tcW w:w="1600" w:type="dxa"/>
          </w:tcPr>
          <w:p>
            <w:r>
              <w:t xml:space="preserve">0.73</w:t>
            </w:r>
          </w:p>
        </w:tc>
        <w:tc>
          <w:tcPr>
            <w:tcW w:w="1500" w:type="dxa"/>
          </w:tcPr>
          <w:p>
            <w:r>
              <w:t xml:space="preserve">0.85</w:t>
            </w:r>
          </w:p>
        </w:tc>
        <w:tc>
          <w:tcPr>
            <w:tcW w:w="1400" w:type="dxa"/>
          </w:tcPr>
          <w:p>
            <w:r>
              <w:t xml:space="preserve">0.78</w:t>
            </w:r>
          </w:p>
        </w:tc>
        <w:tc>
          <w:tcPr>
            <w:tcW w:w="1600" w:type="dxa"/>
          </w:tcPr>
          <w:p>
            <w:r>
              <w:t xml:space="preserve">42%</w:t>
            </w:r>
          </w:p>
        </w:tc>
      </w:tr>
      <w:tr>
        <w:trPr>
          <w:cantSplit/>
        </w:trPr>
        <w:tc>
          <w:tcPr>
            <w:tcW w:w="2500" w:type="dxa"/>
          </w:tcPr>
          <w:p>
            <w:r>
              <w:t xml:space="preserve">U-Net, WorldCover</w:t>
            </w:r>
          </w:p>
        </w:tc>
        <w:tc>
          <w:tcPr>
            <w:tcW w:w="1300" w:type="dxa"/>
          </w:tcPr>
          <w:p>
            <w:r>
              <w:t xml:space="preserve">73.6%</w:t>
            </w:r>
          </w:p>
        </w:tc>
        <w:tc>
          <w:tcPr>
            <w:tcW w:w="1600" w:type="dxa"/>
          </w:tcPr>
          <w:p>
            <w:r>
              <w:t xml:space="preserve">0.58</w:t>
            </w:r>
          </w:p>
        </w:tc>
        <w:tc>
          <w:tcPr>
            <w:tcW w:w="1500" w:type="dxa"/>
          </w:tcPr>
          <w:p>
            <w:r>
              <w:t xml:space="preserve">0.93</w:t>
            </w:r>
          </w:p>
        </w:tc>
        <w:tc>
          <w:tcPr>
            <w:tcW w:w="1400" w:type="dxa"/>
          </w:tcPr>
          <w:p>
            <w:r>
              <w:t xml:space="preserve">0.71</w:t>
            </w:r>
          </w:p>
        </w:tc>
        <w:tc>
          <w:tcPr>
            <w:tcW w:w="1600" w:type="dxa"/>
          </w:tcPr>
          <w:p>
            <w:r>
              <w:t xml:space="preserve">57%</w:t>
            </w:r>
          </w:p>
        </w:tc>
      </w:tr>
      <w:tr>
        <w:trPr>
          <w:cantSplit/>
        </w:trPr>
        <w:tc>
          <w:tcPr>
            <w:tcW w:w="2500" w:type="dxa"/>
          </w:tcPr>
          <w:p>
            <w:r>
              <w:t xml:space="preserve">Hybrid, WorldCover</w:t>
            </w:r>
          </w:p>
        </w:tc>
        <w:tc>
          <w:tcPr>
            <w:tcW w:w="1300" w:type="dxa"/>
          </w:tcPr>
          <w:p>
            <w:r>
              <w:t xml:space="preserve">75.7%</w:t>
            </w:r>
          </w:p>
        </w:tc>
        <w:tc>
          <w:tcPr>
            <w:tcW w:w="1600" w:type="dxa"/>
          </w:tcPr>
          <w:p>
            <w:r>
              <w:t xml:space="preserve">0.60</w:t>
            </w:r>
          </w:p>
        </w:tc>
        <w:tc>
          <w:tcPr>
            <w:tcW w:w="1500" w:type="dxa"/>
          </w:tcPr>
          <w:p>
            <w:r>
              <w:t xml:space="preserve">0.92</w:t>
            </w:r>
          </w:p>
        </w:tc>
        <w:tc>
          <w:tcPr>
            <w:tcW w:w="1400" w:type="dxa"/>
          </w:tcPr>
          <w:p>
            <w:r>
              <w:t xml:space="preserve">0.73</w:t>
            </w:r>
          </w:p>
        </w:tc>
        <w:tc>
          <w:tcPr>
            <w:tcW w:w="1600" w:type="dxa"/>
          </w:tcPr>
          <w:p>
            <w:r>
              <w:t xml:space="preserve">54%</w:t>
            </w:r>
          </w:p>
        </w:tc>
      </w:tr>
      <w:tr>
        <w:trPr>
          <w:cantSplit/>
        </w:trPr>
        <w:tc>
          <w:tcPr>
            <w:tcW w:w="2500" w:type="dxa"/>
          </w:tcPr>
          <w:p>
            <w:r>
              <w:t xml:space="preserve">RF, WorldCover</w:t>
            </w:r>
          </w:p>
        </w:tc>
        <w:tc>
          <w:tcPr>
            <w:tcW w:w="1300" w:type="dxa"/>
          </w:tcPr>
          <w:p>
            <w:r>
              <w:t xml:space="preserve">76.6%</w:t>
            </w:r>
          </w:p>
        </w:tc>
        <w:tc>
          <w:tcPr>
            <w:tcW w:w="1600" w:type="dxa"/>
          </w:tcPr>
          <w:p>
            <w:r>
              <w:t xml:space="preserve">0.62</w:t>
            </w:r>
          </w:p>
        </w:tc>
        <w:tc>
          <w:tcPr>
            <w:tcW w:w="1500" w:type="dxa"/>
          </w:tcPr>
          <w:p>
            <w:r>
              <w:t xml:space="preserve">0.87</w:t>
            </w:r>
          </w:p>
        </w:tc>
        <w:tc>
          <w:tcPr>
            <w:tcW w:w="1400" w:type="dxa"/>
          </w:tcPr>
          <w:p>
            <w:r>
              <w:t xml:space="preserve">0.73</w:t>
            </w:r>
          </w:p>
        </w:tc>
        <w:tc>
          <w:tcPr>
            <w:tcW w:w="1600" w:type="dxa"/>
          </w:tcPr>
          <w:p>
            <w:r>
              <w:t xml:space="preserve">50%</w:t>
            </w:r>
          </w:p>
        </w:tc>
      </w:tr>
    </w:tbl>
    <w:p/>
    <w:p>
      <w:r>
        <w:t xml:space="preserve">About 35% of the test points are vegetation. The Dynamic World models call 39% to 42% of points vegetation; the WorldCover models call 50% to 57%, which is why their greenery estimates are much higher.</w:t>
      </w:r>
    </w:p>
    <w:p>
      <w:pPr>
        <w:pStyle w:val="Heading2"/>
      </w:pPr>
      <w:r>
        <w:t xml:space="preserve">3.3 Label-source evaluation (reference maps)</w:t>
      </w:r>
    </w:p>
    <w:p>
      <w:r>
        <w:t xml:space="preserve">Before retraining, the two candidate label maps were scored directly against the hand labels. This is a map-quality comparison, not a model ablation. Agreement is weighted to Singapore's real class areas (the sample was drawn by WorldCover class), on the 293 points both maps cover, with 95% intervals from resampling within each stratum.</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4400"/>
        <w:gridCol w:w="3000"/>
        <w:gridCol w:w="2500"/>
      </w:tblGrid>
      <w:tr>
        <w:trPr>
          <w:tblHeader/>
        </w:trPr>
        <w:tc>
          <w:tcPr>
            <w:tcW w:w="4400" w:type="dxa"/>
            <w:shd w:val="clear" w:color="auto" w:fill="E2E8F0"/>
          </w:tcPr>
          <w:p>
            <w:r>
              <w:t xml:space="preserve">Reference map</w:t>
            </w:r>
          </w:p>
        </w:tc>
        <w:tc>
          <w:tcPr>
            <w:tcW w:w="3000" w:type="dxa"/>
            <w:shd w:val="clear" w:color="auto" w:fill="E2E8F0"/>
          </w:tcPr>
          <w:p>
            <w:r>
              <w:t xml:space="preserve">Agreement with hand labels</w:t>
            </w:r>
          </w:p>
        </w:tc>
        <w:tc>
          <w:tcPr>
            <w:tcW w:w="2500" w:type="dxa"/>
            <w:shd w:val="clear" w:color="auto" w:fill="E2E8F0"/>
          </w:tcPr>
          <w:p>
            <w:r>
              <w:t xml:space="preserve">95% interval</w:t>
            </w:r>
          </w:p>
        </w:tc>
      </w:tr>
      <w:tr>
        <w:trPr>
          <w:cantSplit/>
        </w:trPr>
        <w:tc>
          <w:tcPr>
            <w:tcW w:w="4400" w:type="dxa"/>
          </w:tcPr>
          <w:p>
            <w:r>
              <w:t xml:space="preserve">ESA WorldCover 2021</w:t>
            </w:r>
          </w:p>
        </w:tc>
        <w:tc>
          <w:tcPr>
            <w:tcW w:w="3000" w:type="dxa"/>
          </w:tcPr>
          <w:p>
            <w:r>
              <w:t xml:space="preserve">69.5%</w:t>
            </w:r>
          </w:p>
        </w:tc>
        <w:tc>
          <w:tcPr>
            <w:tcW w:w="2500" w:type="dxa"/>
          </w:tcPr>
          <w:p>
            <w:r>
              <w:t xml:space="preserve">65–74%</w:t>
            </w:r>
          </w:p>
        </w:tc>
      </w:tr>
      <w:tr>
        <w:trPr>
          <w:cantSplit/>
        </w:trPr>
        <w:tc>
          <w:tcPr>
            <w:tcW w:w="4400" w:type="dxa"/>
          </w:tcPr>
          <w:p>
            <w:r>
              <w:t xml:space="preserve">Dynamic World, around 2021</w:t>
            </w:r>
          </w:p>
        </w:tc>
        <w:tc>
          <w:tcPr>
            <w:tcW w:w="3000" w:type="dxa"/>
          </w:tcPr>
          <w:p>
            <w:r>
              <w:t xml:space="preserve">81.9%</w:t>
            </w:r>
          </w:p>
        </w:tc>
        <w:tc>
          <w:tcPr>
            <w:tcW w:w="2500" w:type="dxa"/>
          </w:tcPr>
          <w:p>
            <w:r>
              <w:t xml:space="preserve">77–86%</w:t>
            </w:r>
          </w:p>
        </w:tc>
      </w:tr>
    </w:tbl>
    <w:p/>
    <w:p>
      <w:r>
        <w:t xml:space="preserve">Dynamic World agrees 12.4 points better (interval 8 to 17). The gain is concentrated in built-up land: a separate check found WorldCover labelled only 47% of hand-labelled built-up points correctly, against 78% for Dynamic World. The comparison used a window around 2021; final training uses the fixed window 1 January 2021 to 1 July 2026. Map agreement and model accuracy use different scoring and samples, so each is read within its own comparison.</w:t>
      </w:r>
    </w:p>
    <w:p>
      <w:pPr>
        <w:pStyle w:val="Heading2"/>
      </w:pPr>
      <w:r>
        <w:t xml:space="preserve">3.4 Ablations and controlled comparisons</w:t>
      </w:r>
    </w:p>
    <w:p>
      <w:r>
        <w:t xml:space="preserve">Each comparison changes one component and scores both versions on the same points. McNemar counts are the points correct only under the second version against only under the first. A non-significant result does not establish equivalence.</w:t>
      </w:r>
    </w:p>
    <w:p>
      <w:pPr>
        <w:pStyle w:val="Heading3"/>
      </w:pPr>
      <w:r>
        <w:t xml:space="preserve">3.4.1 Training-label source</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900"/>
        <w:gridCol w:w="1500"/>
        <w:gridCol w:w="1700"/>
        <w:gridCol w:w="1700"/>
        <w:gridCol w:w="3100"/>
      </w:tblGrid>
      <w:tr>
        <w:trPr>
          <w:tblHeader/>
        </w:trPr>
        <w:tc>
          <w:tcPr>
            <w:tcW w:w="1900" w:type="dxa"/>
            <w:shd w:val="clear" w:color="auto" w:fill="E2E8F0"/>
          </w:tcPr>
          <w:p>
            <w:r>
              <w:t xml:space="preserve">Model</w:t>
            </w:r>
          </w:p>
        </w:tc>
        <w:tc>
          <w:tcPr>
            <w:tcW w:w="1500" w:type="dxa"/>
            <w:shd w:val="clear" w:color="auto" w:fill="E2E8F0"/>
          </w:tcPr>
          <w:p>
            <w:r>
              <w:t xml:space="preserve">WorldCover</w:t>
            </w:r>
          </w:p>
        </w:tc>
        <w:tc>
          <w:tcPr>
            <w:tcW w:w="1700" w:type="dxa"/>
            <w:shd w:val="clear" w:color="auto" w:fill="E2E8F0"/>
          </w:tcPr>
          <w:p>
            <w:r>
              <w:t xml:space="preserve">Dynamic World</w:t>
            </w:r>
          </w:p>
        </w:tc>
        <w:tc>
          <w:tcPr>
            <w:tcW w:w="1700" w:type="dxa"/>
            <w:shd w:val="clear" w:color="auto" w:fill="E2E8F0"/>
          </w:tcPr>
          <w:p>
            <w:r>
              <w:t xml:space="preserve">Change</w:t>
            </w:r>
          </w:p>
        </w:tc>
        <w:tc>
          <w:tcPr>
            <w:tcW w:w="3100" w:type="dxa"/>
            <w:shd w:val="clear" w:color="auto" w:fill="E2E8F0"/>
          </w:tcPr>
          <w:p>
            <w:r>
              <w:t xml:space="preserve">McNemar (counts; p)</w:t>
            </w:r>
          </w:p>
        </w:tc>
      </w:tr>
      <w:tr>
        <w:trPr>
          <w:cantSplit/>
        </w:trPr>
        <w:tc>
          <w:tcPr>
            <w:tcW w:w="1900" w:type="dxa"/>
          </w:tcPr>
          <w:p>
            <w:r>
              <w:t xml:space="preserve">RF</w:t>
            </w:r>
          </w:p>
        </w:tc>
        <w:tc>
          <w:tcPr>
            <w:tcW w:w="1500" w:type="dxa"/>
          </w:tcPr>
          <w:p>
            <w:r>
              <w:t xml:space="preserve">66.9%</w:t>
            </w:r>
          </w:p>
        </w:tc>
        <w:tc>
          <w:tcPr>
            <w:tcW w:w="1700" w:type="dxa"/>
          </w:tcPr>
          <w:p>
            <w:r>
              <w:t xml:space="preserve">73.2%</w:t>
            </w:r>
          </w:p>
        </w:tc>
        <w:tc>
          <w:tcPr>
            <w:tcW w:w="1700" w:type="dxa"/>
          </w:tcPr>
          <w:p>
            <w:r>
              <w:t xml:space="preserve">+6.3 points</w:t>
            </w:r>
          </w:p>
        </w:tc>
        <w:tc>
          <w:tcPr>
            <w:tcW w:w="3100" w:type="dxa"/>
          </w:tcPr>
          <w:p>
            <w:r>
              <w:t xml:space="preserve">28 vs 9; p 0.003</w:t>
            </w:r>
          </w:p>
        </w:tc>
      </w:tr>
      <w:tr>
        <w:trPr>
          <w:cantSplit/>
        </w:trPr>
        <w:tc>
          <w:tcPr>
            <w:tcW w:w="1900" w:type="dxa"/>
          </w:tcPr>
          <w:p>
            <w:r>
              <w:t xml:space="preserve">U-Net</w:t>
            </w:r>
          </w:p>
        </w:tc>
        <w:tc>
          <w:tcPr>
            <w:tcW w:w="1500" w:type="dxa"/>
          </w:tcPr>
          <w:p>
            <w:r>
              <w:t xml:space="preserve">70.3%</w:t>
            </w:r>
          </w:p>
        </w:tc>
        <w:tc>
          <w:tcPr>
            <w:tcW w:w="1700" w:type="dxa"/>
          </w:tcPr>
          <w:p>
            <w:r>
              <w:t xml:space="preserve">81.4%</w:t>
            </w:r>
          </w:p>
        </w:tc>
        <w:tc>
          <w:tcPr>
            <w:tcW w:w="1700" w:type="dxa"/>
          </w:tcPr>
          <w:p>
            <w:r>
              <w:t xml:space="preserve">+11.1 points</w:t>
            </w:r>
          </w:p>
        </w:tc>
        <w:tc>
          <w:tcPr>
            <w:tcW w:w="3100" w:type="dxa"/>
          </w:tcPr>
          <w:p>
            <w:r>
              <w:t xml:space="preserve">48 vs 15; p &lt; 0.001</w:t>
            </w:r>
          </w:p>
        </w:tc>
      </w:tr>
      <w:tr>
        <w:trPr>
          <w:cantSplit/>
        </w:trPr>
        <w:tc>
          <w:tcPr>
            <w:tcW w:w="1900" w:type="dxa"/>
          </w:tcPr>
          <w:p>
            <w:r>
              <w:t xml:space="preserve">Hybrid (50/50)</w:t>
            </w:r>
          </w:p>
        </w:tc>
        <w:tc>
          <w:tcPr>
            <w:tcW w:w="1500" w:type="dxa"/>
          </w:tcPr>
          <w:p>
            <w:r>
              <w:t xml:space="preserve">70.6%</w:t>
            </w:r>
          </w:p>
        </w:tc>
        <w:tc>
          <w:tcPr>
            <w:tcW w:w="1700" w:type="dxa"/>
          </w:tcPr>
          <w:p>
            <w:r>
              <w:t xml:space="preserve">79.1%</w:t>
            </w:r>
          </w:p>
        </w:tc>
        <w:tc>
          <w:tcPr>
            <w:tcW w:w="1700" w:type="dxa"/>
          </w:tcPr>
          <w:p>
            <w:r>
              <w:t xml:space="preserve">+8.5 points</w:t>
            </w:r>
          </w:p>
        </w:tc>
        <w:tc>
          <w:tcPr>
            <w:tcW w:w="3100" w:type="dxa"/>
          </w:tcPr>
          <w:p>
            <w:r>
              <w:t xml:space="preserve">35 vs 10; p &lt; 0.001</w:t>
            </w:r>
          </w:p>
        </w:tc>
      </w:tr>
    </w:tbl>
    <w:p/>
    <w:p>
      <w:r>
        <w:t xml:space="preserve">All three favour Dynamic World significantly. For the U-Net, built-up F1 rose from 0.71 to 0.84 and bare-land F1 from 0.00 to 0.50; the WorldCover U-Net never predicted bare land correctly.</w:t>
      </w:r>
    </w:p>
    <w:p>
      <w:pPr>
        <w:pStyle w:val="Heading3"/>
      </w:pPr>
      <w:r>
        <w:t xml:space="preserve">3.4.2 Features, post-processing and model components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800"/>
        <w:gridCol w:w="3200"/>
        <w:gridCol w:w="1700"/>
        <w:gridCol w:w="900"/>
        <w:gridCol w:w="2300"/>
      </w:tblGrid>
      <w:tr>
        <w:trPr>
          <w:tblHeader/>
        </w:trPr>
        <w:tc>
          <w:tcPr>
            <w:tcW w:w="1800" w:type="dxa"/>
            <w:shd w:val="clear" w:color="auto" w:fill="E2E8F0"/>
          </w:tcPr>
          <w:p>
            <w:r>
              <w:t xml:space="preserve">Component tested</w:t>
            </w:r>
          </w:p>
        </w:tc>
        <w:tc>
          <w:tcPr>
            <w:tcW w:w="3200" w:type="dxa"/>
            <w:shd w:val="clear" w:color="auto" w:fill="E2E8F0"/>
          </w:tcPr>
          <w:p>
            <w:r>
              <w:t xml:space="preserve">Comparison</w:t>
            </w:r>
          </w:p>
        </w:tc>
        <w:tc>
          <w:tcPr>
            <w:tcW w:w="1700" w:type="dxa"/>
            <w:shd w:val="clear" w:color="auto" w:fill="E2E8F0"/>
          </w:tcPr>
          <w:p>
            <w:r>
              <w:t xml:space="preserve">Accuracy</w:t>
            </w:r>
          </w:p>
        </w:tc>
        <w:tc>
          <w:tcPr>
            <w:tcW w:w="900" w:type="dxa"/>
            <w:shd w:val="clear" w:color="auto" w:fill="E2E8F0"/>
          </w:tcPr>
          <w:p>
            <w:r>
              <w:t xml:space="preserve">p</w:t>
            </w:r>
          </w:p>
        </w:tc>
        <w:tc>
          <w:tcPr>
            <w:tcW w:w="2300" w:type="dxa"/>
            <w:shd w:val="clear" w:color="auto" w:fill="E2E8F0"/>
          </w:tcPr>
          <w:p>
            <w:r>
              <w:t xml:space="preserve">Conclusion</w:t>
            </w:r>
          </w:p>
        </w:tc>
      </w:tr>
      <w:tr>
        <w:trPr>
          <w:cantSplit/>
        </w:trPr>
        <w:tc>
          <w:tcPr>
            <w:tcW w:w="1800" w:type="dxa"/>
          </w:tcPr>
          <w:p>
            <w:r>
              <w:t xml:space="preserve">Texture features</w:t>
            </w:r>
          </w:p>
        </w:tc>
        <w:tc>
          <w:tcPr>
            <w:tcW w:w="3200" w:type="dxa"/>
          </w:tcPr>
          <w:p>
            <w:r>
              <w:t xml:space="preserve">RF vs RF + 3 × 3 mean and standard deviation of NDVI, NDBI, NDWI</w:t>
            </w:r>
          </w:p>
        </w:tc>
        <w:tc>
          <w:tcPr>
            <w:tcW w:w="1700" w:type="dxa"/>
          </w:tcPr>
          <w:p>
            <w:r>
              <w:t xml:space="preserve">73.2% vs 73.2%</w:t>
            </w:r>
          </w:p>
        </w:tc>
        <w:tc>
          <w:tcPr>
            <w:tcW w:w="900" w:type="dxa"/>
          </w:tcPr>
          <w:p>
            <w:r>
              <w:t xml:space="preserve">1.00</w:t>
            </w:r>
          </w:p>
        </w:tc>
        <w:tc>
          <w:tcPr>
            <w:tcW w:w="2300" w:type="dxa"/>
          </w:tcPr>
          <w:p>
            <w:r>
              <w:t xml:space="preserve">No detected improvement.</w:t>
            </w:r>
          </w:p>
        </w:tc>
      </w:tr>
      <w:tr>
        <w:trPr>
          <w:cantSplit/>
        </w:trPr>
        <w:tc>
          <w:tcPr>
            <w:tcW w:w="1800" w:type="dxa"/>
          </w:tcPr>
          <w:p>
            <w:r>
              <w:t xml:space="preserve">RF smoothing</w:t>
            </w:r>
          </w:p>
        </w:tc>
        <w:tc>
          <w:tcPr>
            <w:tcW w:w="3200" w:type="dxa"/>
          </w:tcPr>
          <w:p>
            <w:r>
              <w:t xml:space="preserve">RF vs RF with 3 × 3 majority smoothing (30 m), window fixed in advance</w:t>
            </w:r>
          </w:p>
        </w:tc>
        <w:tc>
          <w:tcPr>
            <w:tcW w:w="1700" w:type="dxa"/>
          </w:tcPr>
          <w:p>
            <w:r>
              <w:t xml:space="preserve">73.2% vs 75.6%</w:t>
            </w:r>
          </w:p>
        </w:tc>
        <w:tc>
          <w:tcPr>
            <w:tcW w:w="900" w:type="dxa"/>
          </w:tcPr>
          <w:p>
            <w:r>
              <w:t xml:space="preserve">0.14</w:t>
            </w:r>
          </w:p>
        </w:tc>
        <w:tc>
          <w:tcPr>
            <w:tcW w:w="2300" w:type="dxa"/>
          </w:tcPr>
          <w:p>
            <w:r>
              <w:t xml:space="preserve">+2.4 points, not significant.</w:t>
            </w:r>
          </w:p>
        </w:tc>
      </w:tr>
      <w:tr>
        <w:trPr>
          <w:cantSplit/>
        </w:trPr>
        <w:tc>
          <w:tcPr>
            <w:tcW w:w="1800" w:type="dxa"/>
          </w:tcPr>
          <w:p>
            <w:r>
              <w:t xml:space="preserve">RF in the hybrid</w:t>
            </w:r>
          </w:p>
        </w:tc>
        <w:tc>
          <w:tcPr>
            <w:tcW w:w="3200" w:type="dxa"/>
          </w:tcPr>
          <w:p>
            <w:r>
              <w:t xml:space="preserve">Hybrid vs U-Net alone</w:t>
            </w:r>
          </w:p>
        </w:tc>
        <w:tc>
          <w:tcPr>
            <w:tcW w:w="1700" w:type="dxa"/>
          </w:tcPr>
          <w:p>
            <w:r>
              <w:t xml:space="preserve">79.1% vs 81.4%</w:t>
            </w:r>
          </w:p>
        </w:tc>
        <w:tc>
          <w:tcPr>
            <w:tcW w:w="900" w:type="dxa"/>
          </w:tcPr>
          <w:p>
            <w:r>
              <w:t xml:space="preserve">0.23</w:t>
            </w:r>
          </w:p>
        </w:tc>
        <w:tc>
          <w:tcPr>
            <w:tcW w:w="2300" w:type="dxa"/>
          </w:tcPr>
          <w:p>
            <w:r>
              <w:t xml:space="preserve">No demonstrated benefit from adding RF.</w:t>
            </w:r>
          </w:p>
        </w:tc>
      </w:tr>
      <w:tr>
        <w:trPr>
          <w:cantSplit/>
        </w:trPr>
        <w:tc>
          <w:tcPr>
            <w:tcW w:w="1800" w:type="dxa"/>
          </w:tcPr>
          <w:p>
            <w:r>
              <w:t xml:space="preserve">Smoothing in the hybrid</w:t>
            </w:r>
          </w:p>
        </w:tc>
        <w:tc>
          <w:tcPr>
            <w:tcW w:w="3200" w:type="dxa"/>
          </w:tcPr>
          <w:p>
            <w:r>
              <w:t xml:space="preserve">Hybrid with raw RF vs with smoothed RF</w:t>
            </w:r>
          </w:p>
        </w:tc>
        <w:tc>
          <w:tcPr>
            <w:tcW w:w="1700" w:type="dxa"/>
          </w:tcPr>
          <w:p>
            <w:r>
              <w:t xml:space="preserve">79.1% vs 78.7%</w:t>
            </w:r>
          </w:p>
        </w:tc>
        <w:tc>
          <w:tcPr>
            <w:tcW w:w="900" w:type="dxa"/>
          </w:tcPr>
          <w:p>
            <w:r>
              <w:t xml:space="preserve">1.00</w:t>
            </w:r>
          </w:p>
        </w:tc>
        <w:tc>
          <w:tcPr>
            <w:tcW w:w="2300" w:type="dxa"/>
          </w:tcPr>
          <w:p>
            <w:r>
              <w:t xml:space="preserve">No significant difference.</w:t>
            </w:r>
          </w:p>
        </w:tc>
      </w:tr>
    </w:tbl>
    <w:p/>
    <w:p>
      <w:r>
        <w:t xml:space="preserve">No U-Net architecture ablation or input-band removal experiment was run.</w:t>
      </w:r>
    </w:p>
    <w:p>
      <w:pPr>
        <w:pStyle w:val="Heading2"/>
      </w:pPr>
      <w:r>
        <w:t xml:space="preserve">3.5 Decision impact</w:t>
      </w:r>
    </w:p>
    <w:p>
      <w:r>
        <w:t xml:space="preserve">The priority score was rebuilt with the greenery pillar taken from each classifier's map, everything else fixed, and compared with the production score (U-Net, Dynamic World).</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700"/>
        <w:gridCol w:w="2000"/>
        <w:gridCol w:w="2400"/>
        <w:gridCol w:w="1800"/>
      </w:tblGrid>
      <w:tr>
        <w:trPr>
          <w:tblHeader/>
        </w:trPr>
        <w:tc>
          <w:tcPr>
            <w:tcW w:w="3700" w:type="dxa"/>
            <w:shd w:val="clear" w:color="auto" w:fill="E2E8F0"/>
          </w:tcPr>
          <w:p>
            <w:r>
              <w:t xml:space="preserve">Greenery source</w:t>
            </w:r>
          </w:p>
        </w:tc>
        <w:tc>
          <w:tcPr>
            <w:tcW w:w="2000" w:type="dxa"/>
            <w:shd w:val="clear" w:color="auto" w:fill="E2E8F0"/>
          </w:tcPr>
          <w:p>
            <w:r>
              <w:t xml:space="preserve">Top-20 subzones changed</w:t>
            </w:r>
          </w:p>
        </w:tc>
        <w:tc>
          <w:tcPr>
            <w:tcW w:w="2400" w:type="dxa"/>
            <w:shd w:val="clear" w:color="auto" w:fill="E2E8F0"/>
          </w:tcPr>
          <w:p>
            <w:r>
              <w:t xml:space="preserve">Rank correlation with production</w:t>
            </w:r>
          </w:p>
        </w:tc>
        <w:tc>
          <w:tcPr>
            <w:tcW w:w="1800" w:type="dxa"/>
            <w:shd w:val="clear" w:color="auto" w:fill="E2E8F0"/>
          </w:tcPr>
          <w:p>
            <w:r>
              <w:t xml:space="preserve">Mean greenery share</w:t>
            </w:r>
          </w:p>
        </w:tc>
      </w:tr>
      <w:tr>
        <w:trPr>
          <w:cantSplit/>
        </w:trPr>
        <w:tc>
          <w:tcPr>
            <w:tcW w:w="3700" w:type="dxa"/>
          </w:tcPr>
          <w:p>
            <w:r>
              <w:t xml:space="preserve">U-Net, Dynamic World (production)</w:t>
            </w:r>
          </w:p>
        </w:tc>
        <w:tc>
          <w:tcPr>
            <w:tcW w:w="2000" w:type="dxa"/>
          </w:tcPr>
          <w:p>
            <w:r>
              <w:t xml:space="preserve">0</w:t>
            </w:r>
          </w:p>
        </w:tc>
        <w:tc>
          <w:tcPr>
            <w:tcW w:w="2400" w:type="dxa"/>
          </w:tcPr>
          <w:p>
            <w:r>
              <w:t xml:space="preserve">1.000</w:t>
            </w:r>
          </w:p>
        </w:tc>
        <w:tc>
          <w:tcPr>
            <w:tcW w:w="1800" w:type="dxa"/>
          </w:tcPr>
          <w:p>
            <w:r>
              <w:t xml:space="preserve">12.2%</w:t>
            </w:r>
          </w:p>
        </w:tc>
      </w:tr>
      <w:tr>
        <w:trPr>
          <w:cantSplit/>
        </w:trPr>
        <w:tc>
          <w:tcPr>
            <w:tcW w:w="3700" w:type="dxa"/>
          </w:tcPr>
          <w:p>
            <w:r>
              <w:t xml:space="preserve">Hybrid, Dynamic World</w:t>
            </w:r>
          </w:p>
        </w:tc>
        <w:tc>
          <w:tcPr>
            <w:tcW w:w="2000" w:type="dxa"/>
          </w:tcPr>
          <w:p>
            <w:r>
              <w:t xml:space="preserve">1</w:t>
            </w:r>
          </w:p>
        </w:tc>
        <w:tc>
          <w:tcPr>
            <w:tcW w:w="2400" w:type="dxa"/>
          </w:tcPr>
          <w:p>
            <w:r>
              <w:t xml:space="preserve">1.000</w:t>
            </w:r>
          </w:p>
        </w:tc>
        <w:tc>
          <w:tcPr>
            <w:tcW w:w="1800" w:type="dxa"/>
          </w:tcPr>
          <w:p>
            <w:r>
              <w:t xml:space="preserve">12.8%</w:t>
            </w:r>
          </w:p>
        </w:tc>
      </w:tr>
      <w:tr>
        <w:trPr>
          <w:cantSplit/>
        </w:trPr>
        <w:tc>
          <w:tcPr>
            <w:tcW w:w="3700" w:type="dxa"/>
          </w:tcPr>
          <w:p>
            <w:r>
              <w:t xml:space="preserve">RF, Dynamic World</w:t>
            </w:r>
          </w:p>
        </w:tc>
        <w:tc>
          <w:tcPr>
            <w:tcW w:w="2000" w:type="dxa"/>
          </w:tcPr>
          <w:p>
            <w:r>
              <w:t xml:space="preserve">4</w:t>
            </w:r>
          </w:p>
        </w:tc>
        <w:tc>
          <w:tcPr>
            <w:tcW w:w="2400" w:type="dxa"/>
          </w:tcPr>
          <w:p>
            <w:r>
              <w:t xml:space="preserve">0.988</w:t>
            </w:r>
          </w:p>
        </w:tc>
        <w:tc>
          <w:tcPr>
            <w:tcW w:w="1800" w:type="dxa"/>
          </w:tcPr>
          <w:p>
            <w:r>
              <w:t xml:space="preserve">18.1%</w:t>
            </w:r>
          </w:p>
        </w:tc>
      </w:tr>
      <w:tr>
        <w:trPr>
          <w:cantSplit/>
        </w:trPr>
        <w:tc>
          <w:tcPr>
            <w:tcW w:w="3700" w:type="dxa"/>
          </w:tcPr>
          <w:p>
            <w:r>
              <w:t xml:space="preserve">U-Net, WorldCover</w:t>
            </w:r>
          </w:p>
        </w:tc>
        <w:tc>
          <w:tcPr>
            <w:tcW w:w="2000" w:type="dxa"/>
          </w:tcPr>
          <w:p>
            <w:r>
              <w:t xml:space="preserve">6</w:t>
            </w:r>
          </w:p>
        </w:tc>
        <w:tc>
          <w:tcPr>
            <w:tcW w:w="2400" w:type="dxa"/>
          </w:tcPr>
          <w:p>
            <w:r>
              <w:t xml:space="preserve">0.964</w:t>
            </w:r>
          </w:p>
        </w:tc>
        <w:tc>
          <w:tcPr>
            <w:tcW w:w="1800" w:type="dxa"/>
          </w:tcPr>
          <w:p>
            <w:r>
              <w:t xml:space="preserve">28.7%</w:t>
            </w:r>
          </w:p>
        </w:tc>
      </w:tr>
      <w:tr>
        <w:trPr>
          <w:cantSplit/>
        </w:trPr>
        <w:tc>
          <w:tcPr>
            <w:tcW w:w="3700" w:type="dxa"/>
          </w:tcPr>
          <w:p>
            <w:r>
              <w:t xml:space="preserve">Hybrid, WorldCover</w:t>
            </w:r>
          </w:p>
        </w:tc>
        <w:tc>
          <w:tcPr>
            <w:tcW w:w="2000" w:type="dxa"/>
          </w:tcPr>
          <w:p>
            <w:r>
              <w:t xml:space="preserve">6</w:t>
            </w:r>
          </w:p>
        </w:tc>
        <w:tc>
          <w:tcPr>
            <w:tcW w:w="2400" w:type="dxa"/>
          </w:tcPr>
          <w:p>
            <w:r>
              <w:t xml:space="preserve">0.965</w:t>
            </w:r>
          </w:p>
        </w:tc>
        <w:tc>
          <w:tcPr>
            <w:tcW w:w="1800" w:type="dxa"/>
          </w:tcPr>
          <w:p>
            <w:r>
              <w:t xml:space="preserve">28.1%</w:t>
            </w:r>
          </w:p>
        </w:tc>
      </w:tr>
      <w:tr>
        <w:trPr>
          <w:cantSplit/>
        </w:trPr>
        <w:tc>
          <w:tcPr>
            <w:tcW w:w="3700" w:type="dxa"/>
          </w:tcPr>
          <w:p>
            <w:r>
              <w:t xml:space="preserve">RF, WorldCover</w:t>
            </w:r>
          </w:p>
        </w:tc>
        <w:tc>
          <w:tcPr>
            <w:tcW w:w="2000" w:type="dxa"/>
          </w:tcPr>
          <w:p>
            <w:r>
              <w:t xml:space="preserve">6</w:t>
            </w:r>
          </w:p>
        </w:tc>
        <w:tc>
          <w:tcPr>
            <w:tcW w:w="2400" w:type="dxa"/>
          </w:tcPr>
          <w:p>
            <w:r>
              <w:t xml:space="preserve">0.966</w:t>
            </w:r>
          </w:p>
        </w:tc>
        <w:tc>
          <w:tcPr>
            <w:tcW w:w="1800" w:type="dxa"/>
          </w:tcPr>
          <w:p>
            <w:r>
              <w:t xml:space="preserve">27.6%</w:t>
            </w:r>
          </w:p>
        </w:tc>
      </w:tr>
      <w:tr>
        <w:trPr>
          <w:cantSplit/>
        </w:trPr>
        <w:tc>
          <w:tcPr>
            <w:tcW w:w="3700" w:type="dxa"/>
          </w:tcPr>
          <w:p>
            <w:r>
              <w:t xml:space="preserve">NDVI threshold (no classifier)</w:t>
            </w:r>
          </w:p>
        </w:tc>
        <w:tc>
          <w:tcPr>
            <w:tcW w:w="2000" w:type="dxa"/>
          </w:tcPr>
          <w:p>
            <w:r>
              <w:t xml:space="preserve">8</w:t>
            </w:r>
          </w:p>
        </w:tc>
        <w:tc>
          <w:tcPr>
            <w:tcW w:w="2400" w:type="dxa"/>
          </w:tcPr>
          <w:p>
            <w:r>
              <w:t xml:space="preserve">0.945</w:t>
            </w:r>
          </w:p>
        </w:tc>
        <w:tc>
          <w:tcPr>
            <w:tcW w:w="1800" w:type="dxa"/>
          </w:tcPr>
          <w:p>
            <w:r>
              <w:t xml:space="preserve">39.8%</w:t>
            </w:r>
          </w:p>
        </w:tc>
      </w:tr>
    </w:tbl>
    <w:p/>
    <w:p>
      <w:r>
        <w:t xml:space="preserve">Every alternative changes fewer top-20 subzones than measurement noise alone (10.9). The replacement of the classifier by a simple NDVI threshold has the largest effect; among classifiers, every WorldCover-trained map moves 6 subzones and more than doubles the mean greenery share, while the choice among Dynamic World models moves at most 4. Two properties of the score limit the impact: only the vegetation share reaches it, and a constant over- or under-estimate of greenery is removed by the score's rescaling, so only errors that vary between subzones can move a rank.</w:t>
      </w:r>
    </w:p>
    <w:p>
      <w:pPr>
        <w:pStyle w:val="Heading2"/>
      </w:pPr>
      <w:r>
        <w:t xml:space="preserve">3.6 Exploratory sensitivity analyses</w:t>
      </w:r>
    </w:p>
    <w:p>
      <w:r>
        <w:t xml:space="preserve">These sweeps compared settings on the same test points, so choosing the best-scoring setting would tune the method to the test set. They show sensitivity only.</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6400"/>
        <w:gridCol w:w="3500"/>
      </w:tblGrid>
      <w:tr>
        <w:trPr>
          <w:tblHeader/>
        </w:trPr>
        <w:tc>
          <w:tcPr>
            <w:tcW w:w="6400" w:type="dxa"/>
            <w:shd w:val="clear" w:color="auto" w:fill="E2E8F0"/>
          </w:tcPr>
          <w:p>
            <w:r>
              <w:t xml:space="preserve">RF majority-smoothing window</w:t>
            </w:r>
          </w:p>
        </w:tc>
        <w:tc>
          <w:tcPr>
            <w:tcW w:w="3500" w:type="dxa"/>
            <w:shd w:val="clear" w:color="auto" w:fill="E2E8F0"/>
          </w:tcPr>
          <w:p>
            <w:r>
              <w:t xml:space="preserve">Accuracy</w:t>
            </w:r>
          </w:p>
        </w:tc>
      </w:tr>
      <w:tr>
        <w:trPr>
          <w:cantSplit/>
        </w:trPr>
        <w:tc>
          <w:tcPr>
            <w:tcW w:w="6400" w:type="dxa"/>
          </w:tcPr>
          <w:p>
            <w:r>
              <w:t xml:space="preserve">3 × 3 (fixed in advance)</w:t>
            </w:r>
          </w:p>
        </w:tc>
        <w:tc>
          <w:tcPr>
            <w:tcW w:w="3500" w:type="dxa"/>
          </w:tcPr>
          <w:p>
            <w:r>
              <w:t xml:space="preserve">75.6%</w:t>
            </w:r>
          </w:p>
        </w:tc>
      </w:tr>
      <w:tr>
        <w:trPr>
          <w:cantSplit/>
        </w:trPr>
        <w:tc>
          <w:tcPr>
            <w:tcW w:w="6400" w:type="dxa"/>
          </w:tcPr>
          <w:p>
            <w:r>
              <w:t xml:space="preserve">5 × 5</w:t>
            </w:r>
          </w:p>
        </w:tc>
        <w:tc>
          <w:tcPr>
            <w:tcW w:w="3500" w:type="dxa"/>
          </w:tcPr>
          <w:p>
            <w:r>
              <w:t xml:space="preserve">75.9%</w:t>
            </w:r>
          </w:p>
        </w:tc>
      </w:tr>
      <w:tr>
        <w:trPr>
          <w:cantSplit/>
        </w:trPr>
        <w:tc>
          <w:tcPr>
            <w:tcW w:w="6400" w:type="dxa"/>
          </w:tcPr>
          <w:p>
            <w:r>
              <w:t xml:space="preserve">7 × 7</w:t>
            </w:r>
          </w:p>
        </w:tc>
        <w:tc>
          <w:tcPr>
            <w:tcW w:w="3500" w:type="dxa"/>
          </w:tcPr>
          <w:p>
            <w:r>
              <w:t xml:space="preserve">79.9%</w:t>
            </w:r>
          </w:p>
        </w:tc>
      </w:tr>
      <w:tr>
        <w:trPr>
          <w:cantSplit/>
        </w:trPr>
        <w:tc>
          <w:tcPr>
            <w:tcW w:w="6400" w:type="dxa"/>
          </w:tcPr>
          <w:p>
            <w:r>
              <w:t xml:space="preserve">11 × 11</w:t>
            </w:r>
          </w:p>
        </w:tc>
        <w:tc>
          <w:tcPr>
            <w:tcW w:w="3500" w:type="dxa"/>
          </w:tcPr>
          <w:p>
            <w:r>
              <w:t xml:space="preserve">80.3%</w:t>
            </w:r>
          </w:p>
        </w:tc>
      </w:tr>
      <w:tr>
        <w:trPr>
          <w:cantSplit/>
        </w:trPr>
        <w:tc>
          <w:tcPr>
            <w:tcW w:w="6400" w:type="dxa"/>
          </w:tcPr>
          <w:p>
            <w:r>
              <w:t xml:space="preserve">21 × 21 (about 210 m)</w:t>
            </w:r>
          </w:p>
        </w:tc>
        <w:tc>
          <w:tcPr>
            <w:tcW w:w="3500" w:type="dxa"/>
          </w:tcPr>
          <w:p>
            <w:r>
              <w:t xml:space="preserve">81.6%</w:t>
            </w:r>
          </w:p>
        </w:tc>
      </w:tr>
    </w:tbl>
    <w:p/>
    <w:p>
      <w:r>
        <w:t xml:space="preserve">Larger windows remove speckle but also spatial detail; their higher test accuracy does not justify choosing them.</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6400"/>
        <w:gridCol w:w="3500"/>
      </w:tblGrid>
      <w:tr>
        <w:trPr>
          <w:tblHeader/>
        </w:trPr>
        <w:tc>
          <w:tcPr>
            <w:tcW w:w="6400" w:type="dxa"/>
            <w:shd w:val="clear" w:color="auto" w:fill="E2E8F0"/>
          </w:tcPr>
          <w:p>
            <w:r>
              <w:t xml:space="preserve">U-Net weight in the hybrid</w:t>
            </w:r>
          </w:p>
        </w:tc>
        <w:tc>
          <w:tcPr>
            <w:tcW w:w="3500" w:type="dxa"/>
            <w:shd w:val="clear" w:color="auto" w:fill="E2E8F0"/>
          </w:tcPr>
          <w:p>
            <w:r>
              <w:t xml:space="preserve">Accuracy</w:t>
            </w:r>
          </w:p>
        </w:tc>
      </w:tr>
      <w:tr>
        <w:trPr>
          <w:cantSplit/>
        </w:trPr>
        <w:tc>
          <w:tcPr>
            <w:tcW w:w="6400" w:type="dxa"/>
          </w:tcPr>
          <w:p>
            <w:r>
              <w:t xml:space="preserve">0.5 (standard hybrid)</w:t>
            </w:r>
          </w:p>
        </w:tc>
        <w:tc>
          <w:tcPr>
            <w:tcW w:w="3500" w:type="dxa"/>
          </w:tcPr>
          <w:p>
            <w:r>
              <w:t xml:space="preserve">79.1%</w:t>
            </w:r>
          </w:p>
        </w:tc>
      </w:tr>
      <w:tr>
        <w:trPr>
          <w:cantSplit/>
        </w:trPr>
        <w:tc>
          <w:tcPr>
            <w:tcW w:w="6400" w:type="dxa"/>
          </w:tcPr>
          <w:p>
            <w:r>
              <w:t xml:space="preserve">0.6</w:t>
            </w:r>
          </w:p>
        </w:tc>
        <w:tc>
          <w:tcPr>
            <w:tcW w:w="3500" w:type="dxa"/>
          </w:tcPr>
          <w:p>
            <w:r>
              <w:t xml:space="preserve">79.7%</w:t>
            </w:r>
          </w:p>
        </w:tc>
      </w:tr>
      <w:tr>
        <w:trPr>
          <w:cantSplit/>
        </w:trPr>
        <w:tc>
          <w:tcPr>
            <w:tcW w:w="6400" w:type="dxa"/>
          </w:tcPr>
          <w:p>
            <w:r>
              <w:t xml:space="preserve">0.7</w:t>
            </w:r>
          </w:p>
        </w:tc>
        <w:tc>
          <w:tcPr>
            <w:tcW w:w="3500" w:type="dxa"/>
          </w:tcPr>
          <w:p>
            <w:r>
              <w:t xml:space="preserve">80.1%</w:t>
            </w:r>
          </w:p>
        </w:tc>
      </w:tr>
      <w:tr>
        <w:trPr>
          <w:cantSplit/>
        </w:trPr>
        <w:tc>
          <w:tcPr>
            <w:tcW w:w="6400" w:type="dxa"/>
          </w:tcPr>
          <w:p>
            <w:r>
              <w:t xml:space="preserve">0.8</w:t>
            </w:r>
          </w:p>
        </w:tc>
        <w:tc>
          <w:tcPr>
            <w:tcW w:w="3500" w:type="dxa"/>
          </w:tcPr>
          <w:p>
            <w:r>
              <w:t xml:space="preserve">80.1%</w:t>
            </w:r>
          </w:p>
        </w:tc>
      </w:tr>
      <w:tr>
        <w:trPr>
          <w:cantSplit/>
        </w:trPr>
        <w:tc>
          <w:tcPr>
            <w:tcW w:w="6400" w:type="dxa"/>
          </w:tcPr>
          <w:p>
            <w:r>
              <w:t xml:space="preserve">0.9</w:t>
            </w:r>
          </w:p>
        </w:tc>
        <w:tc>
          <w:tcPr>
            <w:tcW w:w="3500" w:type="dxa"/>
          </w:tcPr>
          <w:p>
            <w:r>
              <w:t xml:space="preserve">81.1%</w:t>
            </w:r>
          </w:p>
        </w:tc>
      </w:tr>
      <w:tr>
        <w:trPr>
          <w:cantSplit/>
        </w:trPr>
        <w:tc>
          <w:tcPr>
            <w:tcW w:w="6400" w:type="dxa"/>
          </w:tcPr>
          <w:p>
            <w:r>
              <w:t xml:space="preserve">1.0 (U-Net alone)</w:t>
            </w:r>
          </w:p>
        </w:tc>
        <w:tc>
          <w:tcPr>
            <w:tcW w:w="3500" w:type="dxa"/>
          </w:tcPr>
          <w:p>
            <w:r>
              <w:t xml:space="preserve">81.4%</w:t>
            </w:r>
          </w:p>
        </w:tc>
      </w:tr>
    </w:tbl>
    <w:p/>
    <w:p>
      <w:r>
        <w:t xml:space="preserve">Accuracy rises or holds as the U-Net weight increases, so the sweep shows no advantage in adding RF on these points; it does not show RF could never help on other data.</w:t>
      </w:r>
    </w:p>
    <w:p>
      <w:pPr>
        <w:pStyle w:val="Heading2"/>
      </w:pPr>
      <w:r>
        <w:t xml:space="preserve">3.7 Limitations</w:t>
      </w:r>
    </w:p>
    <w:p>
      <w:r>
        <w:rPr>
          <w:b/>
        </w:rPr>
        <w:t xml:space="preserve">Small classes. </w:t>
      </w:r>
      <w:r>
        <w:t xml:space="preserve">Bare land (11 points) and water (21 points) are reported but too small to rank methods on.</w:t>
      </w:r>
    </w:p>
    <w:p>
      <w:r>
        <w:rPr>
          <w:b/>
        </w:rPr>
        <w:t xml:space="preserve">Unweighted accuracy. </w:t>
      </w:r>
      <w:r>
        <w:t xml:space="preserve">The test sample over-represents vegetation, so model accuracies are not island-wide map accuracies.</w:t>
      </w:r>
    </w:p>
    <w:p>
      <w:r>
        <w:rPr>
          <w:b/>
        </w:rPr>
        <w:t xml:space="preserve">Model-made labels. </w:t>
      </w:r>
      <w:r>
        <w:t xml:space="preserve">Dynamic World is itself a model output, so models trained on it can inherit its blind spots, and the hand labels and Dynamic World may share biases on mixed pixels.</w:t>
      </w:r>
    </w:p>
    <w:p>
      <w:r>
        <w:rPr>
          <w:b/>
        </w:rPr>
        <w:t xml:space="preserve">Repeated testing. </w:t>
      </w:r>
      <w:r>
        <w:t xml:space="preserve">Many comparisons reuse the same 300 points with no multiple-comparison adjustment, so p-values near 0.05 are read with caution.</w:t>
      </w:r>
    </w:p>
    <w:p>
      <w:pPr>
        <w:pStyle w:val="Heading2"/>
      </w:pPr>
      <w:r>
        <w:t xml:space="preserve">Sources</w:t>
      </w:r>
    </w:p>
    <w:p>
      <w:r>
        <w:t xml:space="preserve">Training: scripts/train_landcover_rf.py, notebooks/colab_training/train_unet.ipynb, scripts/build_landcover_hybrid.py. Evaluation: scripts/log_landcover_evaluation_mlflow.py (MLflow batch landcover_eval_final_2026-09-29c), scripts/evaluate_landcover_supplementary.py. Decision impact: scripts/build_landcover_swap_comparison.py and scripts/evaluate_landcover_supplementary.py (data/processed/landcover_label_source_swap.csv). Map comparison: scripts/compare_worldcover_dynamicworld.py and docs/dynamic_world_vs_worldcover_2026-09-27.md. Test points: data/interim/validation_sample/validation_sample_300_labeled.csv.</w:t>
      </w:r>
    </w:p>
    <w:p>
      <w:r>
        <w:br w:type="page"/>
      </w:r>
    </w:p>
    <w:p>
      <w:pPr>
        <w:pStyle w:val="Heading1"/>
      </w:pPr>
      <w:r>
        <w:t xml:space="preserve">4. Heat Typology</w:t>
      </w:r>
    </w:p>
    <w:p>
      <w:pPr>
        <w:pStyle w:val="Subtitle"/>
      </w:pPr>
      <w:r>
        <w:t xml:space="preserve">K-means and Gaussian-mixture clustering of subzones by seasonal heat and surface character</w:t>
      </w:r>
    </w:p>
    <w:p>
      <w:pPr>
        <w:pStyle w:val="Heading2"/>
      </w:pPr>
      <w:r>
        <w:t xml:space="preserve">Summary</w:t>
      </w:r>
    </w:p>
    <w:p>
      <w:r>
        <w:t xml:space="preserve">The heat typology groups the 332 subzones into 4 types by their surface temperature and greenness in two seasons. It describes subzones; it does not enter the priority score. With no ground truth for a typology, it is judged on whether its structure is real, repeatable and consistent with data it was not built from.</w:t>
      </w:r>
    </w:p>
    <w:p>
      <w:r>
        <w:t xml:space="preserve">The typology is clearly better than chance: its silhouette (0.34) is more than twice that of the same features shuffled (0.14). It is repeatable across random seeds (agreement 0.96) but only moderately stable when the subzones are resampled (0.69). It agrees strongly with land cover, which was not a clustering input (clusters explain 78% of the variation in vegetation share), and with independent MODIS temperature. The hottest type holds 12 of the residents' top-20 priority subzones; the green type holds none.</w:t>
      </w:r>
    </w:p>
    <w:p>
      <w:pPr>
        <w:pStyle w:val="Heading2"/>
      </w:pPr>
      <w:r>
        <w:t xml:space="preserve">4.1 Setup</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300"/>
        <w:gridCol w:w="7600"/>
      </w:tblGrid>
      <w:tr>
        <w:trPr>
          <w:tblHeader/>
        </w:trPr>
        <w:tc>
          <w:tcPr>
            <w:tcW w:w="2300" w:type="dxa"/>
            <w:shd w:val="clear" w:color="auto" w:fill="E2E8F0"/>
          </w:tcPr>
          <w:p>
            <w:r>
              <w:t xml:space="preserve">Item</w:t>
            </w:r>
          </w:p>
        </w:tc>
        <w:tc>
          <w:tcPr>
            <w:tcW w:w="7600" w:type="dxa"/>
            <w:shd w:val="clear" w:color="auto" w:fill="E2E8F0"/>
          </w:tcPr>
          <w:p>
            <w:r>
              <w:t xml:space="preserve">Setting</w:t>
            </w:r>
          </w:p>
        </w:tc>
      </w:tr>
      <w:tr>
        <w:trPr>
          <w:cantSplit/>
        </w:trPr>
        <w:tc>
          <w:tcPr>
            <w:tcW w:w="2300" w:type="dxa"/>
          </w:tcPr>
          <w:p>
            <w:r>
              <w:t xml:space="preserve">Subzones</w:t>
            </w:r>
          </w:p>
        </w:tc>
        <w:tc>
          <w:tcPr>
            <w:tcW w:w="7600" w:type="dxa"/>
          </w:tcPr>
          <w:p>
            <w:r>
              <w:t xml:space="preserve">332 URA subzones, every one with complete features.</w:t>
            </w:r>
          </w:p>
        </w:tc>
      </w:tr>
      <w:tr>
        <w:trPr>
          <w:cantSplit/>
        </w:trPr>
        <w:tc>
          <w:tcPr>
            <w:tcW w:w="2300" w:type="dxa"/>
          </w:tcPr>
          <w:p>
            <w:r>
              <w:t xml:space="preserve">Features</w:t>
            </w:r>
          </w:p>
        </w:tc>
        <w:tc>
          <w:tcPr>
            <w:tcW w:w="7600" w:type="dxa"/>
          </w:tcPr>
          <w:p>
            <w:r>
              <w:t xml:space="preserve">Six subzone means, standardised: Landsat surface temperature, NDVI (greenness) and NDBI (built-up index), each for the inter-monsoon months (April, May, October, November) and for December to February, 2021 to June 2026.</w:t>
            </w:r>
          </w:p>
        </w:tc>
      </w:tr>
      <w:tr>
        <w:trPr>
          <w:cantSplit/>
        </w:trPr>
        <w:tc>
          <w:tcPr>
            <w:tcW w:w="2300" w:type="dxa"/>
          </w:tcPr>
          <w:p>
            <w:r>
              <w:t xml:space="preserve">Methods</w:t>
            </w:r>
          </w:p>
        </w:tc>
        <w:tc>
          <w:tcPr>
            <w:tcW w:w="7600" w:type="dxa"/>
          </w:tcPr>
          <w:p>
            <w:r>
              <w:t xml:space="preserve">K-means and a Gaussian mixture model (GMM), each fitted for 2 to 8 clusters. Each method's number of clusters is the one with the highest silhouette at 3 or more; the method with the higher silhouette becomes the production typology.</w:t>
            </w:r>
          </w:p>
        </w:tc>
      </w:tr>
      <w:tr>
        <w:trPr>
          <w:cantSplit/>
        </w:trPr>
        <w:tc>
          <w:tcPr>
            <w:tcW w:w="2300" w:type="dxa"/>
          </w:tcPr>
          <w:p>
            <w:r>
              <w:t xml:space="preserve">Production typology</w:t>
            </w:r>
          </w:p>
        </w:tc>
        <w:tc>
          <w:tcPr>
            <w:tcW w:w="7600" w:type="dxa"/>
          </w:tcPr>
          <w:p>
            <w:r>
              <w:t xml:space="preserve">K-means with 4 clusters (GMM chose 3).</w:t>
            </w:r>
          </w:p>
        </w:tc>
      </w:tr>
      <w:tr>
        <w:trPr>
          <w:cantSplit/>
        </w:trPr>
        <w:tc>
          <w:tcPr>
            <w:tcW w:w="2300" w:type="dxa"/>
          </w:tcPr>
          <w:p>
            <w:r>
              <w:t xml:space="preserve">Independent checks</w:t>
            </w:r>
          </w:p>
        </w:tc>
        <w:tc>
          <w:tcPr>
            <w:tcW w:w="7600" w:type="dxa"/>
          </w:tcPr>
          <w:p>
            <w:r>
              <w:t xml:space="preserve">Land-cover fractions from the production land-cover map and MODIS surface temperature; neither is a clustering input.</w:t>
            </w:r>
          </w:p>
        </w:tc>
      </w:tr>
      <w:tr>
        <w:trPr>
          <w:cantSplit/>
        </w:trPr>
        <w:tc>
          <w:tcPr>
            <w:tcW w:w="2300" w:type="dxa"/>
          </w:tcPr>
          <w:p>
            <w:r>
              <w:t xml:space="preserve">Statistics</w:t>
            </w:r>
          </w:p>
        </w:tc>
        <w:tc>
          <w:tcPr>
            <w:tcW w:w="7600" w:type="dxa"/>
          </w:tcPr>
          <w:p>
            <w:r>
              <w:t xml:space="preserve">Adjusted Rand index (ARI) for agreement between partitions (1 = identical, 0 = chance); Kruskal-Wallis tests and eta-squared (share of variance explained by the clusters) for the independent checks.</w:t>
            </w:r>
          </w:p>
        </w:tc>
      </w:tr>
    </w:tbl>
    <w:p/>
    <w:p>
      <w:pPr>
        <w:pStyle w:val="Heading2"/>
      </w:pPr>
      <w:r>
        <w:t xml:space="preserve">4.2 Evaluation</w:t>
      </w:r>
    </w:p>
    <w:p>
      <w:pPr>
        <w:pStyle w:val="Heading3"/>
      </w:pPr>
      <w:r>
        <w:t xml:space="preserve">4.2.1 Internal quality against a null baseline</w:t>
      </w:r>
    </w:p>
    <w:p>
      <w:r>
        <w:t xml:space="preserve">The null baseline shuffles each feature independently across subzones, keeping every feature's distribution but removing any joint structure, and clusters it with the same method and k (4 clusters, 200 repeats).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100"/>
        <w:gridCol w:w="2000"/>
        <w:gridCol w:w="1500"/>
        <w:gridCol w:w="1600"/>
        <w:gridCol w:w="1700"/>
      </w:tblGrid>
      <w:tr>
        <w:trPr>
          <w:tblHeader/>
        </w:trPr>
        <w:tc>
          <w:tcPr>
            <w:tcW w:w="3100" w:type="dxa"/>
            <w:shd w:val="clear" w:color="auto" w:fill="E2E8F0"/>
          </w:tcPr>
          <w:p>
            <w:r>
              <w:t xml:space="preserve">Typology</w:t>
            </w:r>
          </w:p>
        </w:tc>
        <w:tc>
          <w:tcPr>
            <w:tcW w:w="2000" w:type="dxa"/>
            <w:shd w:val="clear" w:color="auto" w:fill="E2E8F0"/>
          </w:tcPr>
          <w:p>
            <w:r>
              <w:t xml:space="preserve">Silhouette</w:t>
            </w:r>
          </w:p>
        </w:tc>
        <w:tc>
          <w:tcPr>
            <w:tcW w:w="1500" w:type="dxa"/>
            <w:shd w:val="clear" w:color="auto" w:fill="E2E8F0"/>
          </w:tcPr>
          <w:p>
            <w:r>
              <w:t xml:space="preserve">Davies-Bouldin</w:t>
            </w:r>
          </w:p>
        </w:tc>
        <w:tc>
          <w:tcPr>
            <w:tcW w:w="1600" w:type="dxa"/>
            <w:shd w:val="clear" w:color="auto" w:fill="E2E8F0"/>
          </w:tcPr>
          <w:p>
            <w:r>
              <w:t xml:space="preserve">Calinski-Harabasz</w:t>
            </w:r>
          </w:p>
        </w:tc>
        <w:tc>
          <w:tcPr>
            <w:tcW w:w="1700" w:type="dxa"/>
            <w:shd w:val="clear" w:color="auto" w:fill="E2E8F0"/>
          </w:tcPr>
          <w:p>
            <w:r>
              <w:t xml:space="preserve">Cluster sizes</w:t>
            </w:r>
          </w:p>
        </w:tc>
      </w:tr>
      <w:tr>
        <w:trPr>
          <w:cantSplit/>
        </w:trPr>
        <w:tc>
          <w:tcPr>
            <w:tcW w:w="3100" w:type="dxa"/>
          </w:tcPr>
          <w:p>
            <w:r>
              <w:t xml:space="preserve">K-means, 4 clusters (production)</w:t>
            </w:r>
          </w:p>
        </w:tc>
        <w:tc>
          <w:tcPr>
            <w:tcW w:w="2000" w:type="dxa"/>
          </w:tcPr>
          <w:p>
            <w:r>
              <w:t xml:space="preserve">0.342</w:t>
            </w:r>
          </w:p>
        </w:tc>
        <w:tc>
          <w:tcPr>
            <w:tcW w:w="1500" w:type="dxa"/>
          </w:tcPr>
          <w:p>
            <w:r>
              <w:t xml:space="preserve">0.93</w:t>
            </w:r>
          </w:p>
        </w:tc>
        <w:tc>
          <w:tcPr>
            <w:tcW w:w="1600" w:type="dxa"/>
          </w:tcPr>
          <w:p>
            <w:r>
              <w:t xml:space="preserve">272</w:t>
            </w:r>
          </w:p>
        </w:tc>
        <w:tc>
          <w:tcPr>
            <w:tcW w:w="1700" w:type="dxa"/>
          </w:tcPr>
          <w:p>
            <w:r>
              <w:t xml:space="preserve">31 to 142</w:t>
            </w:r>
          </w:p>
        </w:tc>
      </w:tr>
      <w:tr>
        <w:trPr>
          <w:cantSplit/>
        </w:trPr>
        <w:tc>
          <w:tcPr>
            <w:tcW w:w="3100" w:type="dxa"/>
          </w:tcPr>
          <w:p>
            <w:r>
              <w:t xml:space="preserve">GMM, 3 clusters</w:t>
            </w:r>
          </w:p>
        </w:tc>
        <w:tc>
          <w:tcPr>
            <w:tcW w:w="2000" w:type="dxa"/>
          </w:tcPr>
          <w:p>
            <w:r>
              <w:t xml:space="preserve">0.297</w:t>
            </w:r>
          </w:p>
        </w:tc>
        <w:tc>
          <w:tcPr>
            <w:tcW w:w="1500" w:type="dxa"/>
          </w:tcPr>
          <w:p>
            <w:r>
              <w:t xml:space="preserve">1.21</w:t>
            </w:r>
          </w:p>
        </w:tc>
        <w:tc>
          <w:tcPr>
            <w:tcW w:w="1600" w:type="dxa"/>
          </w:tcPr>
          <w:p>
            <w:r>
              <w:t xml:space="preserve">225</w:t>
            </w:r>
          </w:p>
        </w:tc>
        <w:tc>
          <w:tcPr>
            <w:tcW w:w="1700" w:type="dxa"/>
          </w:tcPr>
          <w:p>
            <w:r>
              <w:t xml:space="preserve">74 to 173</w:t>
            </w:r>
          </w:p>
        </w:tc>
      </w:tr>
      <w:tr>
        <w:trPr>
          <w:cantSplit/>
        </w:trPr>
        <w:tc>
          <w:tcPr>
            <w:tcW w:w="3100" w:type="dxa"/>
          </w:tcPr>
          <w:p>
            <w:r>
              <w:t xml:space="preserve">Shuffled features (null)</w:t>
            </w:r>
          </w:p>
        </w:tc>
        <w:tc>
          <w:tcPr>
            <w:tcW w:w="2000" w:type="dxa"/>
          </w:tcPr>
          <w:p>
            <w:r>
              <w:t xml:space="preserve">0.142 (95th percentile 0.154)</w:t>
            </w:r>
          </w:p>
        </w:tc>
        <w:tc>
          <w:tcPr>
            <w:tcW w:w="1500" w:type="dxa"/>
          </w:tcPr>
          <w:p>
            <w:r>
              <w:t xml:space="preserve"/>
            </w:r>
          </w:p>
        </w:tc>
        <w:tc>
          <w:tcPr>
            <w:tcW w:w="1600" w:type="dxa"/>
          </w:tcPr>
          <w:p>
            <w:r>
              <w:t xml:space="preserve"/>
            </w:r>
          </w:p>
        </w:tc>
        <w:tc>
          <w:tcPr>
            <w:tcW w:w="1700" w:type="dxa"/>
          </w:tcPr>
          <w:p>
            <w:r>
              <w:t xml:space="preserve"/>
            </w:r>
          </w:p>
        </w:tc>
      </w:tr>
    </w:tbl>
    <w:p/>
    <w:p>
      <w:r>
        <w:t xml:space="preserve">Higher silhouette and Calinski-Harabasz, and lower Davies-Bouldin, mean tighter and better-separated clusters. A silhouette of 0.34 indicates real but overlapping groups, not sharply separated ones.</w:t>
      </w:r>
    </w:p>
    <w:p>
      <w:pPr>
        <w:pStyle w:val="Heading3"/>
      </w:pPr>
      <w:r>
        <w:t xml:space="preserve">4.2.2 Stability</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4600"/>
        <w:gridCol w:w="1100"/>
        <w:gridCol w:w="2000"/>
        <w:gridCol w:w="2200"/>
      </w:tblGrid>
      <w:tr>
        <w:trPr>
          <w:tblHeader/>
        </w:trPr>
        <w:tc>
          <w:tcPr>
            <w:tcW w:w="4600" w:type="dxa"/>
            <w:shd w:val="clear" w:color="auto" w:fill="E2E8F0"/>
          </w:tcPr>
          <w:p>
            <w:r>
              <w:t xml:space="preserve">Test</w:t>
            </w:r>
          </w:p>
        </w:tc>
        <w:tc>
          <w:tcPr>
            <w:tcW w:w="1100" w:type="dxa"/>
            <w:shd w:val="clear" w:color="auto" w:fill="E2E8F0"/>
          </w:tcPr>
          <w:p>
            <w:r>
              <w:t xml:space="preserve">Repeats</w:t>
            </w:r>
          </w:p>
        </w:tc>
        <w:tc>
          <w:tcPr>
            <w:tcW w:w="2000" w:type="dxa"/>
            <w:shd w:val="clear" w:color="auto" w:fill="E2E8F0"/>
          </w:tcPr>
          <w:p>
            <w:r>
              <w:t xml:space="preserve">Mean agreement (ARI)</w:t>
            </w:r>
          </w:p>
        </w:tc>
        <w:tc>
          <w:tcPr>
            <w:tcW w:w="2200" w:type="dxa"/>
            <w:shd w:val="clear" w:color="auto" w:fill="E2E8F0"/>
          </w:tcPr>
          <w:p>
            <w:r>
              <w:t xml:space="preserve">5th–95th percentile</w:t>
            </w:r>
          </w:p>
        </w:tc>
      </w:tr>
      <w:tr>
        <w:trPr>
          <w:cantSplit/>
        </w:trPr>
        <w:tc>
          <w:tcPr>
            <w:tcW w:w="4600" w:type="dxa"/>
          </w:tcPr>
          <w:p>
            <w:r>
              <w:t xml:space="preserve">K-means refitted with other random seeds</w:t>
            </w:r>
          </w:p>
        </w:tc>
        <w:tc>
          <w:tcPr>
            <w:tcW w:w="1100" w:type="dxa"/>
          </w:tcPr>
          <w:p>
            <w:r>
              <w:t xml:space="preserve">50</w:t>
            </w:r>
          </w:p>
        </w:tc>
        <w:tc>
          <w:tcPr>
            <w:tcW w:w="2000" w:type="dxa"/>
          </w:tcPr>
          <w:p>
            <w:r>
              <w:t xml:space="preserve">0.96</w:t>
            </w:r>
          </w:p>
        </w:tc>
        <w:tc>
          <w:tcPr>
            <w:tcW w:w="2200" w:type="dxa"/>
          </w:tcPr>
          <w:p>
            <w:r>
              <w:t xml:space="preserve">0.87–1.00</w:t>
            </w:r>
          </w:p>
        </w:tc>
      </w:tr>
      <w:tr>
        <w:trPr>
          <w:cantSplit/>
        </w:trPr>
        <w:tc>
          <w:tcPr>
            <w:tcW w:w="4600" w:type="dxa"/>
          </w:tcPr>
          <w:p>
            <w:r>
              <w:t xml:space="preserve">K-means refitted on bootstrap resamples of subzones</w:t>
            </w:r>
          </w:p>
        </w:tc>
        <w:tc>
          <w:tcPr>
            <w:tcW w:w="1100" w:type="dxa"/>
          </w:tcPr>
          <w:p>
            <w:r>
              <w:t xml:space="preserve">200</w:t>
            </w:r>
          </w:p>
        </w:tc>
        <w:tc>
          <w:tcPr>
            <w:tcW w:w="2000" w:type="dxa"/>
          </w:tcPr>
          <w:p>
            <w:r>
              <w:t xml:space="preserve">0.69</w:t>
            </w:r>
          </w:p>
        </w:tc>
        <w:tc>
          <w:tcPr>
            <w:tcW w:w="2200" w:type="dxa"/>
          </w:tcPr>
          <w:p>
            <w:r>
              <w:t xml:space="preserve">0.34–0.96</w:t>
            </w:r>
          </w:p>
        </w:tc>
      </w:tr>
      <w:tr>
        <w:trPr>
          <w:cantSplit/>
        </w:trPr>
        <w:tc>
          <w:tcPr>
            <w:tcW w:w="4600" w:type="dxa"/>
          </w:tcPr>
          <w:p>
            <w:r>
              <w:t xml:space="preserve">GMM refitted with other random seeds</w:t>
            </w:r>
          </w:p>
        </w:tc>
        <w:tc>
          <w:tcPr>
            <w:tcW w:w="1100" w:type="dxa"/>
          </w:tcPr>
          <w:p>
            <w:r>
              <w:t xml:space="preserve">50</w:t>
            </w:r>
          </w:p>
        </w:tc>
        <w:tc>
          <w:tcPr>
            <w:tcW w:w="2000" w:type="dxa"/>
          </w:tcPr>
          <w:p>
            <w:r>
              <w:t xml:space="preserve">0.74</w:t>
            </w:r>
          </w:p>
        </w:tc>
        <w:tc>
          <w:tcPr>
            <w:tcW w:w="2200" w:type="dxa"/>
          </w:tcPr>
          <w:p>
            <w:r>
              <w:t xml:space="preserve">0.39–1.00</w:t>
            </w:r>
          </w:p>
        </w:tc>
      </w:tr>
    </w:tbl>
    <w:p/>
    <w:p>
      <w:r>
        <w:t xml:space="preserve">K-means returns nearly the same partition whatever the seed. Resampling the subzones changes it more: the main types persist, but subzones near the boundaries between types move, so individual assignments near a boundary should not be over-read. GMM is less repeatable than K-means.</w:t>
      </w:r>
    </w:p>
    <w:p>
      <w:pPr>
        <w:pStyle w:val="Heading3"/>
      </w:pPr>
      <w:r>
        <w:t xml:space="preserve">4.2.3 Agreement with independent data</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500"/>
        <w:gridCol w:w="1500"/>
        <w:gridCol w:w="1500"/>
        <w:gridCol w:w="1500"/>
        <w:gridCol w:w="1500"/>
        <w:gridCol w:w="1400"/>
      </w:tblGrid>
      <w:tr>
        <w:trPr>
          <w:tblHeader/>
        </w:trPr>
        <w:tc>
          <w:tcPr>
            <w:tcW w:w="2500" w:type="dxa"/>
            <w:shd w:val="clear" w:color="auto" w:fill="E2E8F0"/>
          </w:tcPr>
          <w:p>
            <w:r>
              <w:t xml:space="preserve">Variable (not a clustering input)</w:t>
            </w:r>
          </w:p>
        </w:tc>
        <w:tc>
          <w:tcPr>
            <w:tcW w:w="1500" w:type="dxa"/>
            <w:shd w:val="clear" w:color="auto" w:fill="E2E8F0"/>
          </w:tcPr>
          <w:p>
            <w:r>
              <w:t xml:space="preserve">Hot, densely built</w:t>
            </w:r>
          </w:p>
        </w:tc>
        <w:tc>
          <w:tcPr>
            <w:tcW w:w="1500" w:type="dxa"/>
            <w:shd w:val="clear" w:color="auto" w:fill="E2E8F0"/>
          </w:tcPr>
          <w:p>
            <w:r>
              <w:t xml:space="preserve">Large seasonal swing</w:t>
            </w:r>
          </w:p>
        </w:tc>
        <w:tc>
          <w:tcPr>
            <w:tcW w:w="1500" w:type="dxa"/>
            <w:shd w:val="clear" w:color="auto" w:fill="E2E8F0"/>
          </w:tcPr>
          <w:p>
            <w:r>
              <w:t xml:space="preserve">Moderate, mixed urban</w:t>
            </w:r>
          </w:p>
        </w:tc>
        <w:tc>
          <w:tcPr>
            <w:tcW w:w="1500" w:type="dxa"/>
            <w:shd w:val="clear" w:color="auto" w:fill="E2E8F0"/>
          </w:tcPr>
          <w:p>
            <w:r>
              <w:t xml:space="preserve">Cool and green</w:t>
            </w:r>
          </w:p>
        </w:tc>
        <w:tc>
          <w:tcPr>
            <w:tcW w:w="1400" w:type="dxa"/>
            <w:shd w:val="clear" w:color="auto" w:fill="E2E8F0"/>
          </w:tcPr>
          <w:p>
            <w:r>
              <w:t xml:space="preserve">Variance explained</w:t>
            </w:r>
          </w:p>
        </w:tc>
      </w:tr>
      <w:tr>
        <w:trPr>
          <w:cantSplit/>
        </w:trPr>
        <w:tc>
          <w:tcPr>
            <w:tcW w:w="2500" w:type="dxa"/>
          </w:tcPr>
          <w:p>
            <w:r>
              <w:t xml:space="preserve">Vegetation share</w:t>
            </w:r>
          </w:p>
        </w:tc>
        <w:tc>
          <w:tcPr>
            <w:tcW w:w="1500" w:type="dxa"/>
          </w:tcPr>
          <w:p>
            <w:r>
              <w:t xml:space="preserve">4%</w:t>
            </w:r>
          </w:p>
        </w:tc>
        <w:tc>
          <w:tcPr>
            <w:tcW w:w="1500" w:type="dxa"/>
          </w:tcPr>
          <w:p>
            <w:r>
              <w:t xml:space="preserve">2%</w:t>
            </w:r>
          </w:p>
        </w:tc>
        <w:tc>
          <w:tcPr>
            <w:tcW w:w="1500" w:type="dxa"/>
          </w:tcPr>
          <w:p>
            <w:r>
              <w:t xml:space="preserve">11%</w:t>
            </w:r>
          </w:p>
        </w:tc>
        <w:tc>
          <w:tcPr>
            <w:tcW w:w="1500" w:type="dxa"/>
          </w:tcPr>
          <w:p>
            <w:r>
              <w:t xml:space="preserve">55%</w:t>
            </w:r>
          </w:p>
        </w:tc>
        <w:tc>
          <w:tcPr>
            <w:tcW w:w="1400" w:type="dxa"/>
          </w:tcPr>
          <w:p>
            <w:r>
              <w:t xml:space="preserve">78%</w:t>
            </w:r>
          </w:p>
        </w:tc>
      </w:tr>
      <w:tr>
        <w:trPr>
          <w:cantSplit/>
        </w:trPr>
        <w:tc>
          <w:tcPr>
            <w:tcW w:w="2500" w:type="dxa"/>
          </w:tcPr>
          <w:p>
            <w:r>
              <w:t xml:space="preserve">Built-up share</w:t>
            </w:r>
          </w:p>
        </w:tc>
        <w:tc>
          <w:tcPr>
            <w:tcW w:w="1500" w:type="dxa"/>
          </w:tcPr>
          <w:p>
            <w:r>
              <w:t xml:space="preserve">92%</w:t>
            </w:r>
          </w:p>
        </w:tc>
        <w:tc>
          <w:tcPr>
            <w:tcW w:w="1500" w:type="dxa"/>
          </w:tcPr>
          <w:p>
            <w:r>
              <w:t xml:space="preserve">84%</w:t>
            </w:r>
          </w:p>
        </w:tc>
        <w:tc>
          <w:tcPr>
            <w:tcW w:w="1500" w:type="dxa"/>
          </w:tcPr>
          <w:p>
            <w:r>
              <w:t xml:space="preserve">86%</w:t>
            </w:r>
          </w:p>
        </w:tc>
        <w:tc>
          <w:tcPr>
            <w:tcW w:w="1500" w:type="dxa"/>
          </w:tcPr>
          <w:p>
            <w:r>
              <w:t xml:space="preserve">34%</w:t>
            </w:r>
          </w:p>
        </w:tc>
        <w:tc>
          <w:tcPr>
            <w:tcW w:w="1400" w:type="dxa"/>
          </w:tcPr>
          <w:p>
            <w:r>
              <w:t xml:space="preserve">64%</w:t>
            </w:r>
          </w:p>
        </w:tc>
      </w:tr>
      <w:tr>
        <w:trPr>
          <w:cantSplit/>
        </w:trPr>
        <w:tc>
          <w:tcPr>
            <w:tcW w:w="2500" w:type="dxa"/>
          </w:tcPr>
          <w:p>
            <w:r>
              <w:t xml:space="preserve">Water share</w:t>
            </w:r>
          </w:p>
        </w:tc>
        <w:tc>
          <w:tcPr>
            <w:tcW w:w="1500" w:type="dxa"/>
          </w:tcPr>
          <w:p>
            <w:r>
              <w:t xml:space="preserve">1%</w:t>
            </w:r>
          </w:p>
        </w:tc>
        <w:tc>
          <w:tcPr>
            <w:tcW w:w="1500" w:type="dxa"/>
          </w:tcPr>
          <w:p>
            <w:r>
              <w:t xml:space="preserve">12%</w:t>
            </w:r>
          </w:p>
        </w:tc>
        <w:tc>
          <w:tcPr>
            <w:tcW w:w="1500" w:type="dxa"/>
          </w:tcPr>
          <w:p>
            <w:r>
              <w:t xml:space="preserve">2%</w:t>
            </w:r>
          </w:p>
        </w:tc>
        <w:tc>
          <w:tcPr>
            <w:tcW w:w="1500" w:type="dxa"/>
          </w:tcPr>
          <w:p>
            <w:r>
              <w:t xml:space="preserve">9%</w:t>
            </w:r>
          </w:p>
        </w:tc>
        <w:tc>
          <w:tcPr>
            <w:tcW w:w="1400" w:type="dxa"/>
          </w:tcPr>
          <w:p>
            <w:r>
              <w:t xml:space="preserve">12%</w:t>
            </w:r>
          </w:p>
        </w:tc>
      </w:tr>
      <w:tr>
        <w:trPr>
          <w:cantSplit/>
        </w:trPr>
        <w:tc>
          <w:tcPr>
            <w:tcW w:w="2500" w:type="dxa"/>
          </w:tcPr>
          <w:p>
            <w:r>
              <w:t xml:space="preserve">MODIS temperature (°C)</w:t>
            </w:r>
          </w:p>
        </w:tc>
        <w:tc>
          <w:tcPr>
            <w:tcW w:w="1500" w:type="dxa"/>
          </w:tcPr>
          <w:p>
            <w:r>
              <w:t xml:space="preserve">34.9</w:t>
            </w:r>
          </w:p>
        </w:tc>
        <w:tc>
          <w:tcPr>
            <w:tcW w:w="1500" w:type="dxa"/>
          </w:tcPr>
          <w:p>
            <w:r>
              <w:t xml:space="preserve">32.8</w:t>
            </w:r>
          </w:p>
        </w:tc>
        <w:tc>
          <w:tcPr>
            <w:tcW w:w="1500" w:type="dxa"/>
          </w:tcPr>
          <w:p>
            <w:r>
              <w:t xml:space="preserve">33.6</w:t>
            </w:r>
          </w:p>
        </w:tc>
        <w:tc>
          <w:tcPr>
            <w:tcW w:w="1500" w:type="dxa"/>
          </w:tcPr>
          <w:p>
            <w:r>
              <w:t xml:space="preserve">32.3</w:t>
            </w:r>
          </w:p>
        </w:tc>
        <w:tc>
          <w:tcPr>
            <w:tcW w:w="1400" w:type="dxa"/>
          </w:tcPr>
          <w:p>
            <w:r>
              <w:t xml:space="preserve">27%</w:t>
            </w:r>
          </w:p>
        </w:tc>
      </w:tr>
    </w:tbl>
    <w:p/>
    <w:p>
      <w:r>
        <w:t xml:space="preserve">Every variable differs significantly between types (Kruskal-Wallis p below 0.001). The hottest type is also the most built-up and the hottest by MODIS, an independent sensor. It is not the least vegetated: the large seasonal swing type has slightly less vegetation (2.0% against 3.5%), so the coherence check passes on built-up share and on independent temperature, and only narrowly fails on vegetation.</w:t>
      </w:r>
    </w:p>
    <w:p>
      <w:pPr>
        <w:pStyle w:val="Heading3"/>
      </w:pPr>
      <w:r>
        <w:t xml:space="preserve">4.2.4 The types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400"/>
        <w:gridCol w:w="1100"/>
        <w:gridCol w:w="1800"/>
        <w:gridCol w:w="1700"/>
        <w:gridCol w:w="1200"/>
        <w:gridCol w:w="1700"/>
      </w:tblGrid>
      <w:tr>
        <w:trPr>
          <w:tblHeader/>
        </w:trPr>
        <w:tc>
          <w:tcPr>
            <w:tcW w:w="2400" w:type="dxa"/>
            <w:shd w:val="clear" w:color="auto" w:fill="E2E8F0"/>
          </w:tcPr>
          <w:p>
            <w:r>
              <w:t xml:space="preserve">Type</w:t>
            </w:r>
          </w:p>
        </w:tc>
        <w:tc>
          <w:tcPr>
            <w:tcW w:w="1100" w:type="dxa"/>
            <w:shd w:val="clear" w:color="auto" w:fill="E2E8F0"/>
          </w:tcPr>
          <w:p>
            <w:r>
              <w:t xml:space="preserve">Subzones</w:t>
            </w:r>
          </w:p>
        </w:tc>
        <w:tc>
          <w:tcPr>
            <w:tcW w:w="1800" w:type="dxa"/>
            <w:shd w:val="clear" w:color="auto" w:fill="E2E8F0"/>
          </w:tcPr>
          <w:p>
            <w:r>
              <w:t xml:space="preserve">Temperature, inter-monsoon (°C)</w:t>
            </w:r>
          </w:p>
        </w:tc>
        <w:tc>
          <w:tcPr>
            <w:tcW w:w="1700" w:type="dxa"/>
            <w:shd w:val="clear" w:color="auto" w:fill="E2E8F0"/>
          </w:tcPr>
          <w:p>
            <w:r>
              <w:t xml:space="preserve">Temperature, Dec–Feb (°C)</w:t>
            </w:r>
          </w:p>
        </w:tc>
        <w:tc>
          <w:tcPr>
            <w:tcW w:w="1200" w:type="dxa"/>
            <w:shd w:val="clear" w:color="auto" w:fill="E2E8F0"/>
          </w:tcPr>
          <w:p>
            <w:r>
              <w:t xml:space="preserve">NDVI</w:t>
            </w:r>
          </w:p>
        </w:tc>
        <w:tc>
          <w:tcPr>
            <w:tcW w:w="1700" w:type="dxa"/>
            <w:shd w:val="clear" w:color="auto" w:fill="E2E8F0"/>
          </w:tcPr>
          <w:p>
            <w:r>
              <w:t xml:space="preserve">Built-up share</w:t>
            </w:r>
          </w:p>
        </w:tc>
      </w:tr>
      <w:tr>
        <w:trPr>
          <w:cantSplit/>
        </w:trPr>
        <w:tc>
          <w:tcPr>
            <w:tcW w:w="2400" w:type="dxa"/>
          </w:tcPr>
          <w:p>
            <w:r>
              <w:t xml:space="preserve">Hot, densely built</w:t>
            </w:r>
          </w:p>
        </w:tc>
        <w:tc>
          <w:tcPr>
            <w:tcW w:w="1100" w:type="dxa"/>
          </w:tcPr>
          <w:p>
            <w:r>
              <w:t xml:space="preserve">92</w:t>
            </w:r>
          </w:p>
        </w:tc>
        <w:tc>
          <w:tcPr>
            <w:tcW w:w="1800" w:type="dxa"/>
          </w:tcPr>
          <w:p>
            <w:r>
              <w:t xml:space="preserve">42.3</w:t>
            </w:r>
          </w:p>
        </w:tc>
        <w:tc>
          <w:tcPr>
            <w:tcW w:w="1700" w:type="dxa"/>
          </w:tcPr>
          <w:p>
            <w:r>
              <w:t xml:space="preserve">39.6</w:t>
            </w:r>
          </w:p>
        </w:tc>
        <w:tc>
          <w:tcPr>
            <w:tcW w:w="1200" w:type="dxa"/>
          </w:tcPr>
          <w:p>
            <w:r>
              <w:t xml:space="preserve">0.22</w:t>
            </w:r>
          </w:p>
        </w:tc>
        <w:tc>
          <w:tcPr>
            <w:tcW w:w="1700" w:type="dxa"/>
          </w:tcPr>
          <w:p>
            <w:r>
              <w:t xml:space="preserve">92%</w:t>
            </w:r>
          </w:p>
        </w:tc>
      </w:tr>
      <w:tr>
        <w:trPr>
          <w:cantSplit/>
        </w:trPr>
        <w:tc>
          <w:tcPr>
            <w:tcW w:w="2400" w:type="dxa"/>
          </w:tcPr>
          <w:p>
            <w:r>
              <w:t xml:space="preserve">Large seasonal swing</w:t>
            </w:r>
          </w:p>
        </w:tc>
        <w:tc>
          <w:tcPr>
            <w:tcW w:w="1100" w:type="dxa"/>
          </w:tcPr>
          <w:p>
            <w:r>
              <w:t xml:space="preserve">31</w:t>
            </w:r>
          </w:p>
        </w:tc>
        <w:tc>
          <w:tcPr>
            <w:tcW w:w="1800" w:type="dxa"/>
          </w:tcPr>
          <w:p>
            <w:r>
              <w:t xml:space="preserve">39.9</w:t>
            </w:r>
          </w:p>
        </w:tc>
        <w:tc>
          <w:tcPr>
            <w:tcW w:w="1700" w:type="dxa"/>
          </w:tcPr>
          <w:p>
            <w:r>
              <w:t xml:space="preserve">33.7</w:t>
            </w:r>
          </w:p>
        </w:tc>
        <w:tc>
          <w:tcPr>
            <w:tcW w:w="1200" w:type="dxa"/>
          </w:tcPr>
          <w:p>
            <w:r>
              <w:t xml:space="preserve">0.13</w:t>
            </w:r>
          </w:p>
        </w:tc>
        <w:tc>
          <w:tcPr>
            <w:tcW w:w="1700" w:type="dxa"/>
          </w:tcPr>
          <w:p>
            <w:r>
              <w:t xml:space="preserve">84%</w:t>
            </w:r>
          </w:p>
        </w:tc>
      </w:tr>
      <w:tr>
        <w:trPr>
          <w:cantSplit/>
        </w:trPr>
        <w:tc>
          <w:tcPr>
            <w:tcW w:w="2400" w:type="dxa"/>
          </w:tcPr>
          <w:p>
            <w:r>
              <w:t xml:space="preserve">Moderate, mixed urban</w:t>
            </w:r>
          </w:p>
        </w:tc>
        <w:tc>
          <w:tcPr>
            <w:tcW w:w="1100" w:type="dxa"/>
          </w:tcPr>
          <w:p>
            <w:r>
              <w:t xml:space="preserve">142</w:t>
            </w:r>
          </w:p>
        </w:tc>
        <w:tc>
          <w:tcPr>
            <w:tcW w:w="1800" w:type="dxa"/>
          </w:tcPr>
          <w:p>
            <w:r>
              <w:t xml:space="preserve">39.6</w:t>
            </w:r>
          </w:p>
        </w:tc>
        <w:tc>
          <w:tcPr>
            <w:tcW w:w="1700" w:type="dxa"/>
          </w:tcPr>
          <w:p>
            <w:r>
              <w:t xml:space="preserve">37.0</w:t>
            </w:r>
          </w:p>
        </w:tc>
        <w:tc>
          <w:tcPr>
            <w:tcW w:w="1200" w:type="dxa"/>
          </w:tcPr>
          <w:p>
            <w:r>
              <w:t xml:space="preserve">0.33</w:t>
            </w:r>
          </w:p>
        </w:tc>
        <w:tc>
          <w:tcPr>
            <w:tcW w:w="1700" w:type="dxa"/>
          </w:tcPr>
          <w:p>
            <w:r>
              <w:t xml:space="preserve">86%</w:t>
            </w:r>
          </w:p>
        </w:tc>
      </w:tr>
      <w:tr>
        <w:trPr>
          <w:cantSplit/>
        </w:trPr>
        <w:tc>
          <w:tcPr>
            <w:tcW w:w="2400" w:type="dxa"/>
          </w:tcPr>
          <w:p>
            <w:r>
              <w:t xml:space="preserve">Cool and green</w:t>
            </w:r>
          </w:p>
        </w:tc>
        <w:tc>
          <w:tcPr>
            <w:tcW w:w="1100" w:type="dxa"/>
          </w:tcPr>
          <w:p>
            <w:r>
              <w:t xml:space="preserve">67</w:t>
            </w:r>
          </w:p>
        </w:tc>
        <w:tc>
          <w:tcPr>
            <w:tcW w:w="1800" w:type="dxa"/>
          </w:tcPr>
          <w:p>
            <w:r>
              <w:t xml:space="preserve">36.5</w:t>
            </w:r>
          </w:p>
        </w:tc>
        <w:tc>
          <w:tcPr>
            <w:tcW w:w="1700" w:type="dxa"/>
          </w:tcPr>
          <w:p>
            <w:r>
              <w:t xml:space="preserve">34.4</w:t>
            </w:r>
          </w:p>
        </w:tc>
        <w:tc>
          <w:tcPr>
            <w:tcW w:w="1200" w:type="dxa"/>
          </w:tcPr>
          <w:p>
            <w:r>
              <w:t xml:space="preserve">0.52</w:t>
            </w:r>
          </w:p>
        </w:tc>
        <w:tc>
          <w:tcPr>
            <w:tcW w:w="1700" w:type="dxa"/>
          </w:tcPr>
          <w:p>
            <w:r>
              <w:t xml:space="preserve">34%</w:t>
            </w:r>
          </w:p>
        </w:tc>
      </w:tr>
    </w:tbl>
    <w:p/>
    <w:p>
      <w:r>
        <w:t xml:space="preserve">The large-seasonal-swing type is the city centre (Kampong Glam, Phillip, Bugis, Raffles Place, Victoria, Boat Quay and others): among the hottest in the inter-monsoon months, but the coolest in December to February (6.2 °C apart, against about 2.5 °C for the other types). The cause was not tested.</w:t>
      </w:r>
    </w:p>
    <w:p>
      <w:pPr>
        <w:pStyle w:val="Heading2"/>
      </w:pPr>
      <w:r>
        <w:t xml:space="preserve">4.3 Ablations and controlled comparisons</w:t>
      </w:r>
    </w:p>
    <w:p>
      <w:pPr>
        <w:pStyle w:val="Heading3"/>
      </w:pPr>
      <w:r>
        <w:t xml:space="preserve">4.3.1 K-means against a Gaussian mixture</w:t>
      </w:r>
    </w:p>
    <w:p>
      <w:r>
        <w:t xml:space="preserve">K-means (4 clusters) has the higher silhouette (0.34 against 0.30), lower Davies-Bouldin and better seed stability, so it is the production typology. The two partitions agree only moderately (ARI 0.44), partly because GMM chose 3 clusters: the typology's exact boundaries depend on the method.</w:t>
      </w:r>
    </w:p>
    <w:p>
      <w:pPr>
        <w:pStyle w:val="Heading3"/>
      </w:pPr>
      <w:r>
        <w:t xml:space="preserve">4.3.2 Number of clusters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300"/>
        <w:gridCol w:w="3300"/>
        <w:gridCol w:w="3300"/>
      </w:tblGrid>
      <w:tr>
        <w:trPr>
          <w:tblHeader/>
        </w:trPr>
        <w:tc>
          <w:tcPr>
            <w:tcW w:w="3300" w:type="dxa"/>
            <w:shd w:val="clear" w:color="auto" w:fill="E2E8F0"/>
          </w:tcPr>
          <w:p>
            <w:r>
              <w:t xml:space="preserve">Clusters (k)</w:t>
            </w:r>
          </w:p>
        </w:tc>
        <w:tc>
          <w:tcPr>
            <w:tcW w:w="3300" w:type="dxa"/>
            <w:shd w:val="clear" w:color="auto" w:fill="E2E8F0"/>
          </w:tcPr>
          <w:p>
            <w:r>
              <w:t xml:space="preserve">K-means silhouette</w:t>
            </w:r>
          </w:p>
        </w:tc>
        <w:tc>
          <w:tcPr>
            <w:tcW w:w="3300" w:type="dxa"/>
            <w:shd w:val="clear" w:color="auto" w:fill="E2E8F0"/>
          </w:tcPr>
          <w:p>
            <w:r>
              <w:t xml:space="preserve">GMM silhouette</w:t>
            </w:r>
          </w:p>
        </w:tc>
      </w:tr>
      <w:tr>
        <w:trPr>
          <w:cantSplit/>
        </w:trPr>
        <w:tc>
          <w:tcPr>
            <w:tcW w:w="3300" w:type="dxa"/>
          </w:tcPr>
          <w:p>
            <w:r>
              <w:t xml:space="preserve">2</w:t>
            </w:r>
          </w:p>
        </w:tc>
        <w:tc>
          <w:tcPr>
            <w:tcW w:w="3300" w:type="dxa"/>
          </w:tcPr>
          <w:p>
            <w:r>
              <w:t xml:space="preserve">0.501</w:t>
            </w:r>
          </w:p>
        </w:tc>
        <w:tc>
          <w:tcPr>
            <w:tcW w:w="3300" w:type="dxa"/>
          </w:tcPr>
          <w:p>
            <w:r>
              <w:t xml:space="preserve">0.431</w:t>
            </w:r>
          </w:p>
        </w:tc>
      </w:tr>
      <w:tr>
        <w:trPr>
          <w:cantSplit/>
        </w:trPr>
        <w:tc>
          <w:tcPr>
            <w:tcW w:w="3300" w:type="dxa"/>
          </w:tcPr>
          <w:p>
            <w:r>
              <w:t xml:space="preserve">3</w:t>
            </w:r>
          </w:p>
        </w:tc>
        <w:tc>
          <w:tcPr>
            <w:tcW w:w="3300" w:type="dxa"/>
          </w:tcPr>
          <w:p>
            <w:r>
              <w:t xml:space="preserve">0.327</w:t>
            </w:r>
          </w:p>
        </w:tc>
        <w:tc>
          <w:tcPr>
            <w:tcW w:w="3300" w:type="dxa"/>
          </w:tcPr>
          <w:p>
            <w:r>
              <w:t xml:space="preserve">0.297</w:t>
            </w:r>
          </w:p>
        </w:tc>
      </w:tr>
      <w:tr>
        <w:trPr>
          <w:cantSplit/>
        </w:trPr>
        <w:tc>
          <w:tcPr>
            <w:tcW w:w="3300" w:type="dxa"/>
          </w:tcPr>
          <w:p>
            <w:r>
              <w:t xml:space="preserve">4 (production)</w:t>
            </w:r>
          </w:p>
        </w:tc>
        <w:tc>
          <w:tcPr>
            <w:tcW w:w="3300" w:type="dxa"/>
          </w:tcPr>
          <w:p>
            <w:r>
              <w:t xml:space="preserve">0.342</w:t>
            </w:r>
          </w:p>
        </w:tc>
        <w:tc>
          <w:tcPr>
            <w:tcW w:w="3300" w:type="dxa"/>
          </w:tcPr>
          <w:p>
            <w:r>
              <w:t xml:space="preserve">0.217</w:t>
            </w:r>
          </w:p>
        </w:tc>
      </w:tr>
      <w:tr>
        <w:trPr>
          <w:cantSplit/>
        </w:trPr>
        <w:tc>
          <w:tcPr>
            <w:tcW w:w="3300" w:type="dxa"/>
          </w:tcPr>
          <w:p>
            <w:r>
              <w:t xml:space="preserve">5</w:t>
            </w:r>
          </w:p>
        </w:tc>
        <w:tc>
          <w:tcPr>
            <w:tcW w:w="3300" w:type="dxa"/>
          </w:tcPr>
          <w:p>
            <w:r>
              <w:t xml:space="preserve">0.327</w:t>
            </w:r>
          </w:p>
        </w:tc>
        <w:tc>
          <w:tcPr>
            <w:tcW w:w="3300" w:type="dxa"/>
          </w:tcPr>
          <w:p>
            <w:r>
              <w:t xml:space="preserve">0.169</w:t>
            </w:r>
          </w:p>
        </w:tc>
      </w:tr>
      <w:tr>
        <w:trPr>
          <w:cantSplit/>
        </w:trPr>
        <w:tc>
          <w:tcPr>
            <w:tcW w:w="3300" w:type="dxa"/>
          </w:tcPr>
          <w:p>
            <w:r>
              <w:t xml:space="preserve">6</w:t>
            </w:r>
          </w:p>
        </w:tc>
        <w:tc>
          <w:tcPr>
            <w:tcW w:w="3300" w:type="dxa"/>
          </w:tcPr>
          <w:p>
            <w:r>
              <w:t xml:space="preserve">0.299</w:t>
            </w:r>
          </w:p>
        </w:tc>
        <w:tc>
          <w:tcPr>
            <w:tcW w:w="3300" w:type="dxa"/>
          </w:tcPr>
          <w:p>
            <w:r>
              <w:t xml:space="preserve">0.199</w:t>
            </w:r>
          </w:p>
        </w:tc>
      </w:tr>
      <w:tr>
        <w:trPr>
          <w:cantSplit/>
        </w:trPr>
        <w:tc>
          <w:tcPr>
            <w:tcW w:w="3300" w:type="dxa"/>
          </w:tcPr>
          <w:p>
            <w:r>
              <w:t xml:space="preserve">7</w:t>
            </w:r>
          </w:p>
        </w:tc>
        <w:tc>
          <w:tcPr>
            <w:tcW w:w="3300" w:type="dxa"/>
          </w:tcPr>
          <w:p>
            <w:r>
              <w:t xml:space="preserve">0.311</w:t>
            </w:r>
          </w:p>
        </w:tc>
        <w:tc>
          <w:tcPr>
            <w:tcW w:w="3300" w:type="dxa"/>
          </w:tcPr>
          <w:p>
            <w:r>
              <w:t xml:space="preserve">0.197</w:t>
            </w:r>
          </w:p>
        </w:tc>
      </w:tr>
      <w:tr>
        <w:trPr>
          <w:cantSplit/>
        </w:trPr>
        <w:tc>
          <w:tcPr>
            <w:tcW w:w="3300" w:type="dxa"/>
          </w:tcPr>
          <w:p>
            <w:r>
              <w:t xml:space="preserve">8</w:t>
            </w:r>
          </w:p>
        </w:tc>
        <w:tc>
          <w:tcPr>
            <w:tcW w:w="3300" w:type="dxa"/>
          </w:tcPr>
          <w:p>
            <w:r>
              <w:t xml:space="preserve">0.319</w:t>
            </w:r>
          </w:p>
        </w:tc>
        <w:tc>
          <w:tcPr>
            <w:tcW w:w="3300" w:type="dxa"/>
          </w:tcPr>
          <w:p>
            <w:r>
              <w:t xml:space="preserve">0.195</w:t>
            </w:r>
          </w:p>
        </w:tc>
      </w:tr>
    </w:tbl>
    <w:p/>
    <w:p>
      <w:r>
        <w:t xml:space="preserve">The number of clusters was chosen by this sweep on the same data, the standard procedure for unsupervised clustering, with at least 3 clusters so that a trivial two-way split could not win. There is no held-out test of the choice.</w:t>
      </w:r>
    </w:p>
    <w:p>
      <w:pPr>
        <w:pStyle w:val="Heading3"/>
      </w:pPr>
      <w:r>
        <w:t xml:space="preserve">4.3.3 Feature sets</w:t>
      </w:r>
    </w:p>
    <w:p>
      <w:r>
        <w:t xml:space="preserve">K-means with 4 clusters was refitted on subsets of the features and compared with the production typology. Silhouettes are not comparable across feature sets of different sizes; agreement shows how much each subset reproduces the production types.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900"/>
        <w:gridCol w:w="1200"/>
        <w:gridCol w:w="1800"/>
        <w:gridCol w:w="3000"/>
      </w:tblGrid>
      <w:tr>
        <w:trPr>
          <w:tblHeader/>
        </w:trPr>
        <w:tc>
          <w:tcPr>
            <w:tcW w:w="3900" w:type="dxa"/>
            <w:shd w:val="clear" w:color="auto" w:fill="E2E8F0"/>
          </w:tcPr>
          <w:p>
            <w:r>
              <w:t xml:space="preserve">Features used</w:t>
            </w:r>
          </w:p>
        </w:tc>
        <w:tc>
          <w:tcPr>
            <w:tcW w:w="1200" w:type="dxa"/>
            <w:shd w:val="clear" w:color="auto" w:fill="E2E8F0"/>
          </w:tcPr>
          <w:p>
            <w:r>
              <w:t xml:space="preserve">Number</w:t>
            </w:r>
          </w:p>
        </w:tc>
        <w:tc>
          <w:tcPr>
            <w:tcW w:w="1800" w:type="dxa"/>
            <w:shd w:val="clear" w:color="auto" w:fill="E2E8F0"/>
          </w:tcPr>
          <w:p>
            <w:r>
              <w:t xml:space="preserve">Silhouette</w:t>
            </w:r>
          </w:p>
        </w:tc>
        <w:tc>
          <w:tcPr>
            <w:tcW w:w="3000" w:type="dxa"/>
            <w:shd w:val="clear" w:color="auto" w:fill="E2E8F0"/>
          </w:tcPr>
          <w:p>
            <w:r>
              <w:t xml:space="preserve">Agreement with production (ARI)</w:t>
            </w:r>
          </w:p>
        </w:tc>
      </w:tr>
      <w:tr>
        <w:trPr>
          <w:cantSplit/>
        </w:trPr>
        <w:tc>
          <w:tcPr>
            <w:tcW w:w="3900" w:type="dxa"/>
          </w:tcPr>
          <w:p>
            <w:r>
              <w:t xml:space="preserve">All six (production)</w:t>
            </w:r>
          </w:p>
        </w:tc>
        <w:tc>
          <w:tcPr>
            <w:tcW w:w="1200" w:type="dxa"/>
          </w:tcPr>
          <w:p>
            <w:r>
              <w:t xml:space="preserve">6</w:t>
            </w:r>
          </w:p>
        </w:tc>
        <w:tc>
          <w:tcPr>
            <w:tcW w:w="1800" w:type="dxa"/>
          </w:tcPr>
          <w:p>
            <w:r>
              <w:t xml:space="preserve">0.342</w:t>
            </w:r>
          </w:p>
        </w:tc>
        <w:tc>
          <w:tcPr>
            <w:tcW w:w="3000" w:type="dxa"/>
          </w:tcPr>
          <w:p>
            <w:r>
              <w:t xml:space="preserve">1.00</w:t>
            </w:r>
          </w:p>
        </w:tc>
      </w:tr>
      <w:tr>
        <w:trPr>
          <w:cantSplit/>
        </w:trPr>
        <w:tc>
          <w:tcPr>
            <w:tcW w:w="3900" w:type="dxa"/>
          </w:tcPr>
          <w:p>
            <w:r>
              <w:t xml:space="preserve">Inter-monsoon only</w:t>
            </w:r>
          </w:p>
        </w:tc>
        <w:tc>
          <w:tcPr>
            <w:tcW w:w="1200" w:type="dxa"/>
          </w:tcPr>
          <w:p>
            <w:r>
              <w:t xml:space="preserve">3</w:t>
            </w:r>
          </w:p>
        </w:tc>
        <w:tc>
          <w:tcPr>
            <w:tcW w:w="1800" w:type="dxa"/>
          </w:tcPr>
          <w:p>
            <w:r>
              <w:t xml:space="preserve">0.381</w:t>
            </w:r>
          </w:p>
        </w:tc>
        <w:tc>
          <w:tcPr>
            <w:tcW w:w="3000" w:type="dxa"/>
          </w:tcPr>
          <w:p>
            <w:r>
              <w:t xml:space="preserve">0.48</w:t>
            </w:r>
          </w:p>
        </w:tc>
      </w:tr>
      <w:tr>
        <w:trPr>
          <w:cantSplit/>
        </w:trPr>
        <w:tc>
          <w:tcPr>
            <w:tcW w:w="3900" w:type="dxa"/>
          </w:tcPr>
          <w:p>
            <w:r>
              <w:t xml:space="preserve">December-February only</w:t>
            </w:r>
          </w:p>
        </w:tc>
        <w:tc>
          <w:tcPr>
            <w:tcW w:w="1200" w:type="dxa"/>
          </w:tcPr>
          <w:p>
            <w:r>
              <w:t xml:space="preserve">3</w:t>
            </w:r>
          </w:p>
        </w:tc>
        <w:tc>
          <w:tcPr>
            <w:tcW w:w="1800" w:type="dxa"/>
          </w:tcPr>
          <w:p>
            <w:r>
              <w:t xml:space="preserve">0.335</w:t>
            </w:r>
          </w:p>
        </w:tc>
        <w:tc>
          <w:tcPr>
            <w:tcW w:w="3000" w:type="dxa"/>
          </w:tcPr>
          <w:p>
            <w:r>
              <w:t xml:space="preserve">0.74</w:t>
            </w:r>
          </w:p>
        </w:tc>
      </w:tr>
      <w:tr>
        <w:trPr>
          <w:cantSplit/>
        </w:trPr>
        <w:tc>
          <w:tcPr>
            <w:tcW w:w="3900" w:type="dxa"/>
          </w:tcPr>
          <w:p>
            <w:r>
              <w:t xml:space="preserve">Temperature only</w:t>
            </w:r>
          </w:p>
        </w:tc>
        <w:tc>
          <w:tcPr>
            <w:tcW w:w="1200" w:type="dxa"/>
          </w:tcPr>
          <w:p>
            <w:r>
              <w:t xml:space="preserve">2</w:t>
            </w:r>
          </w:p>
        </w:tc>
        <w:tc>
          <w:tcPr>
            <w:tcW w:w="1800" w:type="dxa"/>
          </w:tcPr>
          <w:p>
            <w:r>
              <w:t xml:space="preserve">0.369</w:t>
            </w:r>
          </w:p>
        </w:tc>
        <w:tc>
          <w:tcPr>
            <w:tcW w:w="3000" w:type="dxa"/>
          </w:tcPr>
          <w:p>
            <w:r>
              <w:t xml:space="preserve">0.25</w:t>
            </w:r>
          </w:p>
        </w:tc>
      </w:tr>
      <w:tr>
        <w:trPr>
          <w:cantSplit/>
        </w:trPr>
        <w:tc>
          <w:tcPr>
            <w:tcW w:w="3900" w:type="dxa"/>
          </w:tcPr>
          <w:p>
            <w:r>
              <w:t xml:space="preserve">Indices only (no temperature)</w:t>
            </w:r>
          </w:p>
        </w:tc>
        <w:tc>
          <w:tcPr>
            <w:tcW w:w="1200" w:type="dxa"/>
          </w:tcPr>
          <w:p>
            <w:r>
              <w:t xml:space="preserve">4</w:t>
            </w:r>
          </w:p>
        </w:tc>
        <w:tc>
          <w:tcPr>
            <w:tcW w:w="1800" w:type="dxa"/>
          </w:tcPr>
          <w:p>
            <w:r>
              <w:t xml:space="preserve">0.448</w:t>
            </w:r>
          </w:p>
        </w:tc>
        <w:tc>
          <w:tcPr>
            <w:tcW w:w="3000" w:type="dxa"/>
          </w:tcPr>
          <w:p>
            <w:r>
              <w:t xml:space="preserve">0.33</w:t>
            </w:r>
          </w:p>
        </w:tc>
      </w:tr>
      <w:tr>
        <w:trPr>
          <w:cantSplit/>
        </w:trPr>
        <w:tc>
          <w:tcPr>
            <w:tcW w:w="3900" w:type="dxa"/>
          </w:tcPr>
          <w:p>
            <w:r>
              <w:t xml:space="preserve">Without NDBI</w:t>
            </w:r>
          </w:p>
        </w:tc>
        <w:tc>
          <w:tcPr>
            <w:tcW w:w="1200" w:type="dxa"/>
          </w:tcPr>
          <w:p>
            <w:r>
              <w:t xml:space="preserve">4</w:t>
            </w:r>
          </w:p>
        </w:tc>
        <w:tc>
          <w:tcPr>
            <w:tcW w:w="1800" w:type="dxa"/>
          </w:tcPr>
          <w:p>
            <w:r>
              <w:t xml:space="preserve">0.349</w:t>
            </w:r>
          </w:p>
        </w:tc>
        <w:tc>
          <w:tcPr>
            <w:tcW w:w="3000" w:type="dxa"/>
          </w:tcPr>
          <w:p>
            <w:r>
              <w:t xml:space="preserve">0.67</w:t>
            </w:r>
          </w:p>
        </w:tc>
      </w:tr>
      <w:tr>
        <w:trPr>
          <w:cantSplit/>
        </w:trPr>
        <w:tc>
          <w:tcPr>
            <w:tcW w:w="3900" w:type="dxa"/>
          </w:tcPr>
          <w:p>
            <w:r>
              <w:t xml:space="preserve">Without NDVI</w:t>
            </w:r>
          </w:p>
        </w:tc>
        <w:tc>
          <w:tcPr>
            <w:tcW w:w="1200" w:type="dxa"/>
          </w:tcPr>
          <w:p>
            <w:r>
              <w:t xml:space="preserve">4</w:t>
            </w:r>
          </w:p>
        </w:tc>
        <w:tc>
          <w:tcPr>
            <w:tcW w:w="1800" w:type="dxa"/>
          </w:tcPr>
          <w:p>
            <w:r>
              <w:t xml:space="preserve">0.354</w:t>
            </w:r>
          </w:p>
        </w:tc>
        <w:tc>
          <w:tcPr>
            <w:tcW w:w="3000" w:type="dxa"/>
          </w:tcPr>
          <w:p>
            <w:r>
              <w:t xml:space="preserve">0.74</w:t>
            </w:r>
          </w:p>
        </w:tc>
      </w:tr>
    </w:tbl>
    <w:p/>
    <w:p>
      <w:r>
        <w:t xml:space="preserve">Neither temperature alone (ARI 0.25) nor the surface indices alone (0.33) reproduces the types: they combine heat with greenness and built-up character. Dropping one index keeps most of the structure (0.67 without NDBI, 0.74 without NDVI), as does keeping only December to February (0.74); keeping only the inter-monsoon months changes the types much more (0.48).</w:t>
      </w:r>
    </w:p>
    <w:p>
      <w:pPr>
        <w:pStyle w:val="Heading2"/>
      </w:pPr>
      <w:r>
        <w:t xml:space="preserve">4.4 Relation to the priority ranking</w:t>
      </w:r>
    </w:p>
    <w:p>
      <w:r>
        <w:t xml:space="preserve">The typology does not enter the priority score, so no choice here can change the ranking and there is no decision-impact test. The table shows where each view's top-20 subzones fall.</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500"/>
        <w:gridCol w:w="1700"/>
        <w:gridCol w:w="1800"/>
        <w:gridCol w:w="1800"/>
        <w:gridCol w:w="2100"/>
      </w:tblGrid>
      <w:tr>
        <w:trPr>
          <w:tblHeader/>
        </w:trPr>
        <w:tc>
          <w:tcPr>
            <w:tcW w:w="2500" w:type="dxa"/>
            <w:shd w:val="clear" w:color="auto" w:fill="E2E8F0"/>
          </w:tcPr>
          <w:p>
            <w:r>
              <w:t xml:space="preserve">Type</w:t>
            </w:r>
          </w:p>
        </w:tc>
        <w:tc>
          <w:tcPr>
            <w:tcW w:w="1700" w:type="dxa"/>
            <w:shd w:val="clear" w:color="auto" w:fill="E2E8F0"/>
          </w:tcPr>
          <w:p>
            <w:r>
              <w:t xml:space="preserve">Residents view: ranked</w:t>
            </w:r>
          </w:p>
        </w:tc>
        <w:tc>
          <w:tcPr>
            <w:tcW w:w="1800" w:type="dxa"/>
            <w:shd w:val="clear" w:color="auto" w:fill="E2E8F0"/>
          </w:tcPr>
          <w:p>
            <w:r>
              <w:t xml:space="preserve">Residents view: in top 20</w:t>
            </w:r>
          </w:p>
        </w:tc>
        <w:tc>
          <w:tcPr>
            <w:tcW w:w="1800" w:type="dxa"/>
            <w:shd w:val="clear" w:color="auto" w:fill="E2E8F0"/>
          </w:tcPr>
          <w:p>
            <w:r>
              <w:t xml:space="preserve">All-places view: in top 20</w:t>
            </w:r>
          </w:p>
        </w:tc>
        <w:tc>
          <w:tcPr>
            <w:tcW w:w="2100" w:type="dxa"/>
            <w:shd w:val="clear" w:color="auto" w:fill="E2E8F0"/>
          </w:tcPr>
          <w:p>
            <w:r>
              <w:t xml:space="preserve">Mean priority score (residents)</w:t>
            </w:r>
          </w:p>
        </w:tc>
      </w:tr>
      <w:tr>
        <w:trPr>
          <w:cantSplit/>
        </w:trPr>
        <w:tc>
          <w:tcPr>
            <w:tcW w:w="2500" w:type="dxa"/>
          </w:tcPr>
          <w:p>
            <w:r>
              <w:t xml:space="preserve">Hot, densely built</w:t>
            </w:r>
          </w:p>
        </w:tc>
        <w:tc>
          <w:tcPr>
            <w:tcW w:w="1700" w:type="dxa"/>
          </w:tcPr>
          <w:p>
            <w:r>
              <w:t xml:space="preserve">49</w:t>
            </w:r>
          </w:p>
        </w:tc>
        <w:tc>
          <w:tcPr>
            <w:tcW w:w="1800" w:type="dxa"/>
          </w:tcPr>
          <w:p>
            <w:r>
              <w:t xml:space="preserve">12</w:t>
            </w:r>
          </w:p>
        </w:tc>
        <w:tc>
          <w:tcPr>
            <w:tcW w:w="1800" w:type="dxa"/>
          </w:tcPr>
          <w:p>
            <w:r>
              <w:t xml:space="preserve">19</w:t>
            </w:r>
          </w:p>
        </w:tc>
        <w:tc>
          <w:tcPr>
            <w:tcW w:w="2100" w:type="dxa"/>
          </w:tcPr>
          <w:p>
            <w:r>
              <w:t xml:space="preserve">0.77</w:t>
            </w:r>
          </w:p>
        </w:tc>
      </w:tr>
      <w:tr>
        <w:trPr>
          <w:cantSplit/>
        </w:trPr>
        <w:tc>
          <w:tcPr>
            <w:tcW w:w="2500" w:type="dxa"/>
          </w:tcPr>
          <w:p>
            <w:r>
              <w:t xml:space="preserve">Large seasonal swing</w:t>
            </w:r>
          </w:p>
        </w:tc>
        <w:tc>
          <w:tcPr>
            <w:tcW w:w="1700" w:type="dxa"/>
          </w:tcPr>
          <w:p>
            <w:r>
              <w:t xml:space="preserve">12</w:t>
            </w:r>
          </w:p>
        </w:tc>
        <w:tc>
          <w:tcPr>
            <w:tcW w:w="1800" w:type="dxa"/>
          </w:tcPr>
          <w:p>
            <w:r>
              <w:t xml:space="preserve">4</w:t>
            </w:r>
          </w:p>
        </w:tc>
        <w:tc>
          <w:tcPr>
            <w:tcW w:w="1800" w:type="dxa"/>
          </w:tcPr>
          <w:p>
            <w:r>
              <w:t xml:space="preserve">1</w:t>
            </w:r>
          </w:p>
        </w:tc>
        <w:tc>
          <w:tcPr>
            <w:tcW w:w="2100" w:type="dxa"/>
          </w:tcPr>
          <w:p>
            <w:r>
              <w:t xml:space="preserve">0.72</w:t>
            </w:r>
          </w:p>
        </w:tc>
      </w:tr>
      <w:tr>
        <w:trPr>
          <w:cantSplit/>
        </w:trPr>
        <w:tc>
          <w:tcPr>
            <w:tcW w:w="2500" w:type="dxa"/>
          </w:tcPr>
          <w:p>
            <w:r>
              <w:t xml:space="preserve">Moderate, mixed urban</w:t>
            </w:r>
          </w:p>
        </w:tc>
        <w:tc>
          <w:tcPr>
            <w:tcW w:w="1700" w:type="dxa"/>
          </w:tcPr>
          <w:p>
            <w:r>
              <w:t xml:space="preserve">122</w:t>
            </w:r>
          </w:p>
        </w:tc>
        <w:tc>
          <w:tcPr>
            <w:tcW w:w="1800" w:type="dxa"/>
          </w:tcPr>
          <w:p>
            <w:r>
              <w:t xml:space="preserve">4</w:t>
            </w:r>
          </w:p>
        </w:tc>
        <w:tc>
          <w:tcPr>
            <w:tcW w:w="1800" w:type="dxa"/>
          </w:tcPr>
          <w:p>
            <w:r>
              <w:t xml:space="preserve">0</w:t>
            </w:r>
          </w:p>
        </w:tc>
        <w:tc>
          <w:tcPr>
            <w:tcW w:w="2100" w:type="dxa"/>
          </w:tcPr>
          <w:p>
            <w:r>
              <w:t xml:space="preserve">0.67</w:t>
            </w:r>
          </w:p>
        </w:tc>
      </w:tr>
      <w:tr>
        <w:trPr>
          <w:cantSplit/>
        </w:trPr>
        <w:tc>
          <w:tcPr>
            <w:tcW w:w="2500" w:type="dxa"/>
          </w:tcPr>
          <w:p>
            <w:r>
              <w:t xml:space="preserve">Cool and green</w:t>
            </w:r>
          </w:p>
        </w:tc>
        <w:tc>
          <w:tcPr>
            <w:tcW w:w="1700" w:type="dxa"/>
          </w:tcPr>
          <w:p>
            <w:r>
              <w:t xml:space="preserve">28</w:t>
            </w:r>
          </w:p>
        </w:tc>
        <w:tc>
          <w:tcPr>
            <w:tcW w:w="1800" w:type="dxa"/>
          </w:tcPr>
          <w:p>
            <w:r>
              <w:t xml:space="preserve">0</w:t>
            </w:r>
          </w:p>
        </w:tc>
        <w:tc>
          <w:tcPr>
            <w:tcW w:w="1800" w:type="dxa"/>
          </w:tcPr>
          <w:p>
            <w:r>
              <w:t xml:space="preserve">0</w:t>
            </w:r>
          </w:p>
        </w:tc>
        <w:tc>
          <w:tcPr>
            <w:tcW w:w="2100" w:type="dxa"/>
          </w:tcPr>
          <w:p>
            <w:r>
              <w:t xml:space="preserve">0.36</w:t>
            </w:r>
          </w:p>
        </w:tc>
      </w:tr>
    </w:tbl>
    <w:p/>
    <w:p>
      <w:r>
        <w:t xml:space="preserve">The hottest type supplies most of the top-20 subzones in both views, and the green type none, which is expected because heat and missing greenery are two of the score's inputs. The typology adds a description of what kind of place each priority subzone is.</w:t>
      </w:r>
    </w:p>
    <w:p>
      <w:pPr>
        <w:pStyle w:val="Heading2"/>
      </w:pPr>
      <w:r>
        <w:t xml:space="preserve">4.5 Exploratory analyses</w:t>
      </w:r>
    </w:p>
    <w:p>
      <w:r>
        <w:rPr>
          <w:b/>
        </w:rPr>
        <w:t xml:space="preserve">GMM membership certainty. </w:t>
      </w:r>
      <w:r>
        <w:t xml:space="preserve">The GMM gives each subzone a probability of belonging to each type. 79% of subzones belong to one type with probability 0.9 or more; the rest sit between types, consistent with the moderate bootstrap stability.</w:t>
      </w:r>
    </w:p>
    <w:p>
      <w:pPr>
        <w:pStyle w:val="Heading2"/>
      </w:pPr>
      <w:r>
        <w:t xml:space="preserve">4.6 Limitations</w:t>
      </w:r>
    </w:p>
    <w:p>
      <w:r>
        <w:rPr>
          <w:b/>
        </w:rPr>
        <w:t xml:space="preserve">No ground truth. </w:t>
      </w:r>
      <w:r>
        <w:t xml:space="preserve">There is no reference typology, so the evaluation shows the types are real, repeatable and physically consistent, not that they are the right types.</w:t>
      </w:r>
    </w:p>
    <w:p>
      <w:r>
        <w:rPr>
          <w:b/>
        </w:rPr>
        <w:t xml:space="preserve">Daytime only. </w:t>
      </w:r>
      <w:r>
        <w:t xml:space="preserve">Landsat passes in the late morning, so the typology says nothing about night-time heat; a day-night typology was planned but not built.</w:t>
      </w:r>
    </w:p>
    <w:p>
      <w:r>
        <w:rPr>
          <w:b/>
        </w:rPr>
        <w:t xml:space="preserve">Selection on the same data. </w:t>
      </w:r>
      <w:r>
        <w:t xml:space="preserve">The number of clusters and the method were both chosen by silhouette on the data being clustered.</w:t>
      </w:r>
    </w:p>
    <w:p>
      <w:r>
        <w:rPr>
          <w:b/>
        </w:rPr>
        <w:t xml:space="preserve">Boundary subzones. </w:t>
      </w:r>
      <w:r>
        <w:t xml:space="preserve">Bootstrap stability is moderate, so subzones near a type boundary can change type.</w:t>
      </w:r>
    </w:p>
    <w:p>
      <w:r>
        <w:rPr>
          <w:b/>
        </w:rPr>
        <w:t xml:space="preserve">Subzone averages. </w:t>
      </w:r>
      <w:r>
        <w:t xml:space="preserve">Each subzone is one row of averages, which hides variation within large or mixed subzones.</w:t>
      </w:r>
    </w:p>
    <w:p>
      <w:pPr>
        <w:pStyle w:val="Heading2"/>
      </w:pPr>
      <w:r>
        <w:t xml:space="preserve">Sources</w:t>
      </w:r>
    </w:p>
    <w:p>
      <w:r>
        <w:t xml:space="preserve">Clustering: scripts/build_hotspot_clusters.py, src/hotspots/cluster.py, src/hotspots/features.py. Evaluation: scripts/evaluate_hotspot_typology.py, validation/hotspots_validation/typology_evaluation.py, validation/hotspots_validation/cluster_quality.py (outputs in data/processed/diagnostics/typology_*.csv).</w:t>
      </w:r>
    </w:p>
    <w:p>
      <w:r>
        <w:br w:type="page"/>
      </w:r>
    </w:p>
    <w:p>
      <w:pPr>
        <w:pStyle w:val="Heading1"/>
      </w:pPr>
      <w:r>
        <w:t xml:space="preserve">5. Cooling-priority Score</w:t>
      </w:r>
    </w:p>
    <w:p>
      <w:pPr>
        <w:pStyle w:val="Subtitle"/>
      </w:pPr>
      <w:r>
        <w:t xml:space="preserve">Heat exposure, resident sensitivity and missing greenery, combined with data-derived weights</w:t>
      </w:r>
    </w:p>
    <w:p>
      <w:pPr>
        <w:pStyle w:val="Heading2"/>
      </w:pPr>
      <w:r>
        <w:t xml:space="preserve">Summary</w:t>
      </w:r>
    </w:p>
    <w:p>
      <w:r>
        <w:t xml:space="preserve">The cooling-priority score ranks subzones by combining three pillars: heat exposure (Landsat surface temperature), resident sensitivity (population density and the share of elderly residents) and missing greenery (one minus the vegetation share from the land-cover map). The planning output is the list of the 20 highest-priority subzones.</w:t>
      </w:r>
    </w:p>
    <w:p>
      <w:r>
        <w:t xml:space="preserve">There is no record of where cooling was most needed, so the score is judged on its structure, its robustness and whether its design choices matter. One index summarises the three pillars reasonably (the first principal component carries 67% of their variation). Measurement noise alone replaces about 11 of the top 20 in an average draw, and no top-20 subzone is certain. Against that noise floor, only removing the heat or the sensitivity pillar changes the top 20 by more than noise (12 subzones each). Every method choice tested, including weighting, the sensitivity formula, the heat layer and the land-cover source, moves fewer subzones than noise does. The top 20 should therefore be read as a well-supported shortlist, not a precise order.</w:t>
      </w:r>
    </w:p>
    <w:p>
      <w:pPr>
        <w:pStyle w:val="Heading2"/>
      </w:pPr>
      <w:r>
        <w:t xml:space="preserve">5.1 Setup</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400"/>
        <w:gridCol w:w="7500"/>
      </w:tblGrid>
      <w:tr>
        <w:trPr>
          <w:tblHeader/>
        </w:trPr>
        <w:tc>
          <w:tcPr>
            <w:tcW w:w="2400" w:type="dxa"/>
            <w:shd w:val="clear" w:color="auto" w:fill="E2E8F0"/>
          </w:tcPr>
          <w:p>
            <w:r>
              <w:t xml:space="preserve">Item</w:t>
            </w:r>
          </w:p>
        </w:tc>
        <w:tc>
          <w:tcPr>
            <w:tcW w:w="7500" w:type="dxa"/>
            <w:shd w:val="clear" w:color="auto" w:fill="E2E8F0"/>
          </w:tcPr>
          <w:p>
            <w:r>
              <w:t xml:space="preserve">Setting</w:t>
            </w:r>
          </w:p>
        </w:tc>
      </w:tr>
      <w:tr>
        <w:trPr>
          <w:cantSplit/>
        </w:trPr>
        <w:tc>
          <w:tcPr>
            <w:tcW w:w="2400" w:type="dxa"/>
          </w:tcPr>
          <w:p>
            <w:r>
              <w:t xml:space="preserve">Pillars</w:t>
            </w:r>
          </w:p>
        </w:tc>
        <w:tc>
          <w:tcPr>
            <w:tcW w:w="7500" w:type="dxa"/>
          </w:tcPr>
          <w:p>
            <w:r>
              <w:t xml:space="preserve">Heat exposure: Landsat 30 m surface temperature, subzone mean. Resident sensitivity: 0.5 × population density + 0.5 × elderly share (the 50/50 split is a placeholder). Missing greenery: 1 − vegetation share from the production land-cover map.</w:t>
            </w:r>
          </w:p>
        </w:tc>
      </w:tr>
      <w:tr>
        <w:trPr>
          <w:cantSplit/>
        </w:trPr>
        <w:tc>
          <w:tcPr>
            <w:tcW w:w="2400" w:type="dxa"/>
          </w:tcPr>
          <w:p>
            <w:r>
              <w:t xml:space="preserve">Scaling and weights</w:t>
            </w:r>
          </w:p>
        </w:tc>
        <w:tc>
          <w:tcPr>
            <w:tcW w:w="7500" w:type="dxa"/>
          </w:tcPr>
          <w:p>
            <w:r>
              <w:t xml:space="preserve">Each pillar is min-max scaled to 0–1. Weights come from the first principal component of the standardised pillars: 0.335 / 0.290 / 0.375 (exposure / sensitivity / missing greenery).</w:t>
            </w:r>
          </w:p>
        </w:tc>
      </w:tr>
      <w:tr>
        <w:trPr>
          <w:cantSplit/>
        </w:trPr>
        <w:tc>
          <w:tcPr>
            <w:tcW w:w="2400" w:type="dxa"/>
          </w:tcPr>
          <w:p>
            <w:r>
              <w:t xml:space="preserve">Residents view (production)</w:t>
            </w:r>
          </w:p>
        </w:tc>
        <w:tc>
          <w:tcPr>
            <w:tcW w:w="7500" w:type="dxa"/>
          </w:tcPr>
          <w:p>
            <w:r>
              <w:t xml:space="preserve">211 subzones with at least 500 residents.</w:t>
            </w:r>
          </w:p>
        </w:tc>
      </w:tr>
      <w:tr>
        <w:trPr>
          <w:cantSplit/>
        </w:trPr>
        <w:tc>
          <w:tcPr>
            <w:tcW w:w="2400" w:type="dxa"/>
          </w:tcPr>
          <w:p>
            <w:r>
              <w:t xml:space="preserve">All-places view</w:t>
            </w:r>
          </w:p>
        </w:tc>
        <w:tc>
          <w:tcPr>
            <w:tcW w:w="7500" w:type="dxa"/>
          </w:tcPr>
          <w:p>
            <w:r>
              <w:t xml:space="preserve">All 332 subzones, heat and missing greenery only, equal weights. It includes industrial and port areas but says nothing about how many people are exposed.</w:t>
            </w:r>
          </w:p>
        </w:tc>
      </w:tr>
      <w:tr>
        <w:trPr>
          <w:cantSplit/>
        </w:trPr>
        <w:tc>
          <w:tcPr>
            <w:tcW w:w="2400" w:type="dxa"/>
          </w:tcPr>
          <w:p>
            <w:r>
              <w:t xml:space="preserve">Uncertainty</w:t>
            </w:r>
          </w:p>
        </w:tc>
        <w:tc>
          <w:tcPr>
            <w:tcW w:w="7500" w:type="dxa"/>
          </w:tcPr>
          <w:p>
            <w:r>
              <w:t xml:space="preserve">1,000 bootstrap draws perturbing heat and greenery by measured error sizes: heat by the spread of Landsat minus MODIS after removing the offset, greenery by the disagreement between the land-cover and NDVI greenery estimates.</w:t>
            </w:r>
          </w:p>
        </w:tc>
      </w:tr>
    </w:tbl>
    <w:p/>
    <w:p>
      <w:pPr>
        <w:pStyle w:val="Heading2"/>
      </w:pPr>
      <w:r>
        <w:t xml:space="preserve">5.2 Evaluation</w:t>
      </w:r>
    </w:p>
    <w:p>
      <w:pPr>
        <w:pStyle w:val="Heading3"/>
      </w:pPr>
      <w:r>
        <w:t xml:space="preserve">5.2.1 Does one index summarise the pillars?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200"/>
        <w:gridCol w:w="1300"/>
        <w:gridCol w:w="1600"/>
        <w:gridCol w:w="1500"/>
        <w:gridCol w:w="1700"/>
        <w:gridCol w:w="1600"/>
      </w:tblGrid>
      <w:tr>
        <w:trPr>
          <w:tblHeader/>
        </w:trPr>
        <w:tc>
          <w:tcPr>
            <w:tcW w:w="2200" w:type="dxa"/>
            <w:shd w:val="clear" w:color="auto" w:fill="E2E8F0"/>
          </w:tcPr>
          <w:p>
            <w:r>
              <w:t xml:space="preserve">Pillar</w:t>
            </w:r>
          </w:p>
        </w:tc>
        <w:tc>
          <w:tcPr>
            <w:tcW w:w="1300" w:type="dxa"/>
            <w:shd w:val="clear" w:color="auto" w:fill="E2E8F0"/>
          </w:tcPr>
          <w:p>
            <w:r>
              <w:t xml:space="preserve">PCA weight</w:t>
            </w:r>
          </w:p>
        </w:tc>
        <w:tc>
          <w:tcPr>
            <w:tcW w:w="1600" w:type="dxa"/>
            <w:shd w:val="clear" w:color="auto" w:fill="E2E8F0"/>
          </w:tcPr>
          <w:p>
            <w:r>
              <w:t xml:space="preserve">Correlation with heat</w:t>
            </w:r>
          </w:p>
        </w:tc>
        <w:tc>
          <w:tcPr>
            <w:tcW w:w="1500" w:type="dxa"/>
            <w:shd w:val="clear" w:color="auto" w:fill="E2E8F0"/>
          </w:tcPr>
          <w:p>
            <w:r>
              <w:t xml:space="preserve">with sensitivity</w:t>
            </w:r>
          </w:p>
        </w:tc>
        <w:tc>
          <w:tcPr>
            <w:tcW w:w="1700" w:type="dxa"/>
            <w:shd w:val="clear" w:color="auto" w:fill="E2E8F0"/>
          </w:tcPr>
          <w:p>
            <w:r>
              <w:t xml:space="preserve">with missing greenery</w:t>
            </w:r>
          </w:p>
        </w:tc>
        <w:tc>
          <w:tcPr>
            <w:tcW w:w="1600" w:type="dxa"/>
            <w:shd w:val="clear" w:color="auto" w:fill="E2E8F0"/>
          </w:tcPr>
          <w:p>
            <w:r>
              <w:t xml:space="preserve">Correlation with final score</w:t>
            </w:r>
          </w:p>
        </w:tc>
      </w:tr>
      <w:tr>
        <w:trPr>
          <w:cantSplit/>
        </w:trPr>
        <w:tc>
          <w:tcPr>
            <w:tcW w:w="2200" w:type="dxa"/>
          </w:tcPr>
          <w:p>
            <w:r>
              <w:t xml:space="preserve">Heat exposure</w:t>
            </w:r>
          </w:p>
        </w:tc>
        <w:tc>
          <w:tcPr>
            <w:tcW w:w="1300" w:type="dxa"/>
          </w:tcPr>
          <w:p>
            <w:r>
              <w:t xml:space="preserve">0.335</w:t>
            </w:r>
          </w:p>
        </w:tc>
        <w:tc>
          <w:tcPr>
            <w:tcW w:w="1600" w:type="dxa"/>
          </w:tcPr>
          <w:p>
            <w:r>
              <w:t xml:space="preserve">1.00</w:t>
            </w:r>
          </w:p>
        </w:tc>
        <w:tc>
          <w:tcPr>
            <w:tcW w:w="1500" w:type="dxa"/>
          </w:tcPr>
          <w:p>
            <w:r>
              <w:t xml:space="preserve">0.29</w:t>
            </w:r>
          </w:p>
        </w:tc>
        <w:tc>
          <w:tcPr>
            <w:tcW w:w="1700" w:type="dxa"/>
          </w:tcPr>
          <w:p>
            <w:r>
              <w:t xml:space="preserve">0.67</w:t>
            </w:r>
          </w:p>
        </w:tc>
        <w:tc>
          <w:tcPr>
            <w:tcW w:w="1600" w:type="dxa"/>
          </w:tcPr>
          <w:p>
            <w:r>
              <w:t xml:space="preserve">0.79</w:t>
            </w:r>
          </w:p>
        </w:tc>
      </w:tr>
      <w:tr>
        <w:trPr>
          <w:cantSplit/>
        </w:trPr>
        <w:tc>
          <w:tcPr>
            <w:tcW w:w="2200" w:type="dxa"/>
          </w:tcPr>
          <w:p>
            <w:r>
              <w:t xml:space="preserve">Resident sensitivity</w:t>
            </w:r>
          </w:p>
        </w:tc>
        <w:tc>
          <w:tcPr>
            <w:tcW w:w="1300" w:type="dxa"/>
          </w:tcPr>
          <w:p>
            <w:r>
              <w:t xml:space="preserve">0.290</w:t>
            </w:r>
          </w:p>
        </w:tc>
        <w:tc>
          <w:tcPr>
            <w:tcW w:w="1600" w:type="dxa"/>
          </w:tcPr>
          <w:p>
            <w:r>
              <w:t xml:space="preserve">0.29</w:t>
            </w:r>
          </w:p>
        </w:tc>
        <w:tc>
          <w:tcPr>
            <w:tcW w:w="1500" w:type="dxa"/>
          </w:tcPr>
          <w:p>
            <w:r>
              <w:t xml:space="preserve">1.00</w:t>
            </w:r>
          </w:p>
        </w:tc>
        <w:tc>
          <w:tcPr>
            <w:tcW w:w="1700" w:type="dxa"/>
          </w:tcPr>
          <w:p>
            <w:r>
              <w:t xml:space="preserve">0.51</w:t>
            </w:r>
          </w:p>
        </w:tc>
        <w:tc>
          <w:tcPr>
            <w:tcW w:w="1600" w:type="dxa"/>
          </w:tcPr>
          <w:p>
            <w:r>
              <w:t xml:space="preserve">0.73</w:t>
            </w:r>
          </w:p>
        </w:tc>
      </w:tr>
      <w:tr>
        <w:trPr>
          <w:cantSplit/>
        </w:trPr>
        <w:tc>
          <w:tcPr>
            <w:tcW w:w="2200" w:type="dxa"/>
          </w:tcPr>
          <w:p>
            <w:r>
              <w:t xml:space="preserve">Missing greenery</w:t>
            </w:r>
          </w:p>
        </w:tc>
        <w:tc>
          <w:tcPr>
            <w:tcW w:w="1300" w:type="dxa"/>
          </w:tcPr>
          <w:p>
            <w:r>
              <w:t xml:space="preserve">0.375</w:t>
            </w:r>
          </w:p>
        </w:tc>
        <w:tc>
          <w:tcPr>
            <w:tcW w:w="1600" w:type="dxa"/>
          </w:tcPr>
          <w:p>
            <w:r>
              <w:t xml:space="preserve">0.67</w:t>
            </w:r>
          </w:p>
        </w:tc>
        <w:tc>
          <w:tcPr>
            <w:tcW w:w="1500" w:type="dxa"/>
          </w:tcPr>
          <w:p>
            <w:r>
              <w:t xml:space="preserve">0.51</w:t>
            </w:r>
          </w:p>
        </w:tc>
        <w:tc>
          <w:tcPr>
            <w:tcW w:w="1700" w:type="dxa"/>
          </w:tcPr>
          <w:p>
            <w:r>
              <w:t xml:space="preserve">1.00</w:t>
            </w:r>
          </w:p>
        </w:tc>
        <w:tc>
          <w:tcPr>
            <w:tcW w:w="1600" w:type="dxa"/>
          </w:tcPr>
          <w:p>
            <w:r>
              <w:t xml:space="preserve">0.92</w:t>
            </w:r>
          </w:p>
        </w:tc>
      </w:tr>
    </w:tbl>
    <w:p/>
    <w:p>
      <w:r>
        <w:t xml:space="preserve">The first principal component explains 67% of the pillars' variation (then 24% and 9%), so the pillars share a common direction and a single weighted index is a reasonable summary. All three pillars correlate positively, and missing greenery is the most tightly linked to the final score. Because the pillars are min-max scaled before weighting, each pillar's influence depends on its spread as well as its weight.</w:t>
      </w:r>
    </w:p>
    <w:p>
      <w:pPr>
        <w:pStyle w:val="Heading3"/>
      </w:pPr>
      <w:r>
        <w:t xml:space="preserve">5.2.2 Robustness to measurement noise</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300"/>
        <w:gridCol w:w="1100"/>
        <w:gridCol w:w="1300"/>
        <w:gridCol w:w="1300"/>
        <w:gridCol w:w="1300"/>
        <w:gridCol w:w="1400"/>
        <w:gridCol w:w="1100"/>
        <w:gridCol w:w="1100"/>
      </w:tblGrid>
      <w:tr>
        <w:trPr>
          <w:tblHeader/>
        </w:trPr>
        <w:tc>
          <w:tcPr>
            <w:tcW w:w="1300" w:type="dxa"/>
            <w:shd w:val="clear" w:color="auto" w:fill="E2E8F0"/>
          </w:tcPr>
          <w:p>
            <w:r>
              <w:t xml:space="preserve">View</w:t>
            </w:r>
          </w:p>
        </w:tc>
        <w:tc>
          <w:tcPr>
            <w:tcW w:w="1100" w:type="dxa"/>
            <w:shd w:val="clear" w:color="auto" w:fill="E2E8F0"/>
          </w:tcPr>
          <w:p>
            <w:r>
              <w:t xml:space="preserve">Subzones</w:t>
            </w:r>
          </w:p>
        </w:tc>
        <w:tc>
          <w:tcPr>
            <w:tcW w:w="1300" w:type="dxa"/>
            <w:shd w:val="clear" w:color="auto" w:fill="E2E8F0"/>
          </w:tcPr>
          <w:p>
            <w:r>
              <w:t xml:space="preserve">Mean 90% band width</w:t>
            </w:r>
          </w:p>
        </w:tc>
        <w:tc>
          <w:tcPr>
            <w:tcW w:w="1300" w:type="dxa"/>
            <w:shd w:val="clear" w:color="auto" w:fill="E2E8F0"/>
          </w:tcPr>
          <w:p>
            <w:r>
              <w:t xml:space="preserve">Point outside own band</w:t>
            </w:r>
          </w:p>
        </w:tc>
        <w:tc>
          <w:tcPr>
            <w:tcW w:w="1300" w:type="dxa"/>
            <w:shd w:val="clear" w:color="auto" w:fill="E2E8F0"/>
          </w:tcPr>
          <w:p>
            <w:r>
              <w:t xml:space="preserve">Noise floor (top 20)</w:t>
            </w:r>
          </w:p>
        </w:tc>
        <w:tc>
          <w:tcPr>
            <w:tcW w:w="1400" w:type="dxa"/>
            <w:shd w:val="clear" w:color="auto" w:fill="E2E8F0"/>
          </w:tcPr>
          <w:p>
            <w:r>
              <w:t xml:space="preserve">Top 20: chance of staying ≥ 0.9</w:t>
            </w:r>
          </w:p>
        </w:tc>
        <w:tc>
          <w:tcPr>
            <w:tcW w:w="1100" w:type="dxa"/>
            <w:shd w:val="clear" w:color="auto" w:fill="E2E8F0"/>
          </w:tcPr>
          <w:p>
            <w:r>
              <w:t xml:space="preserve">0.5–0.9</w:t>
            </w:r>
          </w:p>
        </w:tc>
        <w:tc>
          <w:tcPr>
            <w:tcW w:w="1100" w:type="dxa"/>
            <w:shd w:val="clear" w:color="auto" w:fill="E2E8F0"/>
          </w:tcPr>
          <w:p>
            <w:r>
              <w:t xml:space="preserve">&lt; 0.5</w:t>
            </w:r>
          </w:p>
        </w:tc>
      </w:tr>
      <w:tr>
        <w:trPr>
          <w:cantSplit/>
        </w:trPr>
        <w:tc>
          <w:tcPr>
            <w:tcW w:w="1300" w:type="dxa"/>
          </w:tcPr>
          <w:p>
            <w:r>
              <w:t xml:space="preserve">Residents</w:t>
            </w:r>
          </w:p>
        </w:tc>
        <w:tc>
          <w:tcPr>
            <w:tcW w:w="1100" w:type="dxa"/>
          </w:tcPr>
          <w:p>
            <w:r>
              <w:t xml:space="preserve">211</w:t>
            </w:r>
          </w:p>
        </w:tc>
        <w:tc>
          <w:tcPr>
            <w:tcW w:w="1300" w:type="dxa"/>
          </w:tcPr>
          <w:p>
            <w:r>
              <w:t xml:space="preserve">0.20</w:t>
            </w:r>
          </w:p>
        </w:tc>
        <w:tc>
          <w:tcPr>
            <w:tcW w:w="1300" w:type="dxa"/>
          </w:tcPr>
          <w:p>
            <w:r>
              <w:t xml:space="preserve">0</w:t>
            </w:r>
          </w:p>
        </w:tc>
        <w:tc>
          <w:tcPr>
            <w:tcW w:w="1300" w:type="dxa"/>
          </w:tcPr>
          <w:p>
            <w:r>
              <w:t xml:space="preserve">10.9</w:t>
            </w:r>
          </w:p>
        </w:tc>
        <w:tc>
          <w:tcPr>
            <w:tcW w:w="1400" w:type="dxa"/>
          </w:tcPr>
          <w:p>
            <w:r>
              <w:t xml:space="preserve">0</w:t>
            </w:r>
          </w:p>
        </w:tc>
        <w:tc>
          <w:tcPr>
            <w:tcW w:w="1100" w:type="dxa"/>
          </w:tcPr>
          <w:p>
            <w:r>
              <w:t xml:space="preserve">6</w:t>
            </w:r>
          </w:p>
        </w:tc>
        <w:tc>
          <w:tcPr>
            <w:tcW w:w="1100" w:type="dxa"/>
          </w:tcPr>
          <w:p>
            <w:r>
              <w:t xml:space="preserve">14</w:t>
            </w:r>
          </w:p>
        </w:tc>
      </w:tr>
      <w:tr>
        <w:trPr>
          <w:cantSplit/>
        </w:trPr>
        <w:tc>
          <w:tcPr>
            <w:tcW w:w="1300" w:type="dxa"/>
          </w:tcPr>
          <w:p>
            <w:r>
              <w:t xml:space="preserve">All places</w:t>
            </w:r>
          </w:p>
        </w:tc>
        <w:tc>
          <w:tcPr>
            <w:tcW w:w="1100" w:type="dxa"/>
          </w:tcPr>
          <w:p>
            <w:r>
              <w:t xml:space="preserve">332</w:t>
            </w:r>
          </w:p>
        </w:tc>
        <w:tc>
          <w:tcPr>
            <w:tcW w:w="1300" w:type="dxa"/>
          </w:tcPr>
          <w:p>
            <w:r>
              <w:t xml:space="preserve">0.29</w:t>
            </w:r>
          </w:p>
        </w:tc>
        <w:tc>
          <w:tcPr>
            <w:tcW w:w="1300" w:type="dxa"/>
          </w:tcPr>
          <w:p>
            <w:r>
              <w:t xml:space="preserve">0</w:t>
            </w:r>
          </w:p>
        </w:tc>
        <w:tc>
          <w:tcPr>
            <w:tcW w:w="1300" w:type="dxa"/>
          </w:tcPr>
          <w:p>
            <w:r>
              <w:t xml:space="preserve">11.0</w:t>
            </w:r>
          </w:p>
        </w:tc>
        <w:tc>
          <w:tcPr>
            <w:tcW w:w="1400" w:type="dxa"/>
          </w:tcPr>
          <w:p>
            <w:r>
              <w:t xml:space="preserve">0</w:t>
            </w:r>
          </w:p>
        </w:tc>
        <w:tc>
          <w:tcPr>
            <w:tcW w:w="1100" w:type="dxa"/>
          </w:tcPr>
          <w:p>
            <w:r>
              <w:t xml:space="preserve">5</w:t>
            </w:r>
          </w:p>
        </w:tc>
        <w:tc>
          <w:tcPr>
            <w:tcW w:w="1100" w:type="dxa"/>
          </w:tcPr>
          <w:p>
            <w:r>
              <w:t xml:space="preserve">15</w:t>
            </w:r>
          </w:p>
        </w:tc>
      </w:tr>
    </w:tbl>
    <w:p/>
    <w:p>
      <w:r>
        <w:t xml:space="preserve">Scores run from 0 to 1, so a band about 0.20 wide is large: neighbouring subzones in the ranking cannot be told apart. No top-20 subzone stays in the top 20 in 90% of draws; 6 stay in more than half. The noise floor is the yardstick for every decision-impact result in this report.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400"/>
        <w:gridCol w:w="2000"/>
        <w:gridCol w:w="2200"/>
        <w:gridCol w:w="2300"/>
      </w:tblGrid>
      <w:tr>
        <w:trPr>
          <w:tblHeader/>
        </w:trPr>
        <w:tc>
          <w:tcPr>
            <w:tcW w:w="3400" w:type="dxa"/>
            <w:shd w:val="clear" w:color="auto" w:fill="E2E8F0"/>
          </w:tcPr>
          <w:p>
            <w:r>
              <w:t xml:space="preserve">Noise included</w:t>
            </w:r>
          </w:p>
        </w:tc>
        <w:tc>
          <w:tcPr>
            <w:tcW w:w="2000" w:type="dxa"/>
            <w:shd w:val="clear" w:color="auto" w:fill="E2E8F0"/>
          </w:tcPr>
          <w:p>
            <w:r>
              <w:t xml:space="preserve">Heat noise (°C)</w:t>
            </w:r>
          </w:p>
        </w:tc>
        <w:tc>
          <w:tcPr>
            <w:tcW w:w="2200" w:type="dxa"/>
            <w:shd w:val="clear" w:color="auto" w:fill="E2E8F0"/>
          </w:tcPr>
          <w:p>
            <w:r>
              <w:t xml:space="preserve">Greenery noise (share)</w:t>
            </w:r>
          </w:p>
        </w:tc>
        <w:tc>
          <w:tcPr>
            <w:tcW w:w="2300" w:type="dxa"/>
            <w:shd w:val="clear" w:color="auto" w:fill="E2E8F0"/>
          </w:tcPr>
          <w:p>
            <w:r>
              <w:t xml:space="preserve">Noise floor (top 20)</w:t>
            </w:r>
          </w:p>
        </w:tc>
      </w:tr>
      <w:tr>
        <w:trPr>
          <w:cantSplit/>
        </w:trPr>
        <w:tc>
          <w:tcPr>
            <w:tcW w:w="3400" w:type="dxa"/>
          </w:tcPr>
          <w:p>
            <w:r>
              <w:t xml:space="preserve">Both (production)</w:t>
            </w:r>
          </w:p>
        </w:tc>
        <w:tc>
          <w:tcPr>
            <w:tcW w:w="2000" w:type="dxa"/>
          </w:tcPr>
          <w:p>
            <w:r>
              <w:t xml:space="preserve">1.91</w:t>
            </w:r>
          </w:p>
        </w:tc>
        <w:tc>
          <w:tcPr>
            <w:tcW w:w="2200" w:type="dxa"/>
          </w:tcPr>
          <w:p>
            <w:r>
              <w:t xml:space="preserve">0.092</w:t>
            </w:r>
          </w:p>
        </w:tc>
        <w:tc>
          <w:tcPr>
            <w:tcW w:w="2300" w:type="dxa"/>
          </w:tcPr>
          <w:p>
            <w:r>
              <w:t xml:space="preserve">10.9</w:t>
            </w:r>
          </w:p>
        </w:tc>
      </w:tr>
      <w:tr>
        <w:trPr>
          <w:cantSplit/>
        </w:trPr>
        <w:tc>
          <w:tcPr>
            <w:tcW w:w="3400" w:type="dxa"/>
          </w:tcPr>
          <w:p>
            <w:r>
              <w:t xml:space="preserve">Heat exposure only</w:t>
            </w:r>
          </w:p>
        </w:tc>
        <w:tc>
          <w:tcPr>
            <w:tcW w:w="2000" w:type="dxa"/>
          </w:tcPr>
          <w:p>
            <w:r>
              <w:t xml:space="preserve">1.91</w:t>
            </w:r>
          </w:p>
        </w:tc>
        <w:tc>
          <w:tcPr>
            <w:tcW w:w="2200" w:type="dxa"/>
          </w:tcPr>
          <w:p>
            <w:r>
              <w:t xml:space="preserve">none</w:t>
            </w:r>
          </w:p>
        </w:tc>
        <w:tc>
          <w:tcPr>
            <w:tcW w:w="2300" w:type="dxa"/>
          </w:tcPr>
          <w:p>
            <w:r>
              <w:t xml:space="preserve">10.4</w:t>
            </w:r>
          </w:p>
        </w:tc>
      </w:tr>
      <w:tr>
        <w:trPr>
          <w:cantSplit/>
        </w:trPr>
        <w:tc>
          <w:tcPr>
            <w:tcW w:w="3400" w:type="dxa"/>
          </w:tcPr>
          <w:p>
            <w:r>
              <w:t xml:space="preserve">Greenery only</w:t>
            </w:r>
          </w:p>
        </w:tc>
        <w:tc>
          <w:tcPr>
            <w:tcW w:w="2000" w:type="dxa"/>
          </w:tcPr>
          <w:p>
            <w:r>
              <w:t xml:space="preserve">none</w:t>
            </w:r>
          </w:p>
        </w:tc>
        <w:tc>
          <w:tcPr>
            <w:tcW w:w="2200" w:type="dxa"/>
          </w:tcPr>
          <w:p>
            <w:r>
              <w:t xml:space="preserve">0.092</w:t>
            </w:r>
          </w:p>
        </w:tc>
        <w:tc>
          <w:tcPr>
            <w:tcW w:w="2300" w:type="dxa"/>
          </w:tcPr>
          <w:p>
            <w:r>
              <w:t xml:space="preserve">5.2</w:t>
            </w:r>
          </w:p>
        </w:tc>
      </w:tr>
    </w:tbl>
    <w:p/>
    <w:p>
      <w:r>
        <w:t xml:space="preserve">Heat measurement noise drives the uncertainty; greenery noise on its own moves about half as many subzones. The greenery-only figure is approximate (see Limitations).</w:t>
      </w:r>
    </w:p>
    <w:p>
      <w:pPr>
        <w:pStyle w:val="Heading3"/>
      </w:pPr>
      <w:r>
        <w:t xml:space="preserve">5.2.3 Face validity against published hotspot areas</w:t>
      </w:r>
    </w:p>
    <w:p>
      <w:r>
        <w:t xml:space="preserve">The Singapore-ETH Centre's urban heat vulnerability analysis names seven planning areas as hotspots (Geylang, Jurong East, Marine Parade, Punggol, Sengkang, Serangoon, Woodlands). Its index differs from this one (air temperature, humidity, vegetation and demographics, at planning-area level, around 2020), so this is a supporting check only.</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300"/>
        <w:gridCol w:w="1800"/>
        <w:gridCol w:w="1600"/>
        <w:gridCol w:w="1500"/>
        <w:gridCol w:w="3700"/>
      </w:tblGrid>
      <w:tr>
        <w:trPr>
          <w:tblHeader/>
        </w:trPr>
        <w:tc>
          <w:tcPr>
            <w:tcW w:w="1300" w:type="dxa"/>
            <w:shd w:val="clear" w:color="auto" w:fill="E2E8F0"/>
          </w:tcPr>
          <w:p>
            <w:r>
              <w:t xml:space="preserve">View</w:t>
            </w:r>
          </w:p>
        </w:tc>
        <w:tc>
          <w:tcPr>
            <w:tcW w:w="1800" w:type="dxa"/>
            <w:shd w:val="clear" w:color="auto" w:fill="E2E8F0"/>
          </w:tcPr>
          <w:p>
            <w:r>
              <w:t xml:space="preserve">Top-20 subzones in those areas</w:t>
            </w:r>
          </w:p>
        </w:tc>
        <w:tc>
          <w:tcPr>
            <w:tcW w:w="1600" w:type="dxa"/>
            <w:shd w:val="clear" w:color="auto" w:fill="E2E8F0"/>
          </w:tcPr>
          <w:p>
            <w:r>
              <w:t xml:space="preserve">Expected by chance</w:t>
            </w:r>
          </w:p>
        </w:tc>
        <w:tc>
          <w:tcPr>
            <w:tcW w:w="1500" w:type="dxa"/>
            <w:shd w:val="clear" w:color="auto" w:fill="E2E8F0"/>
          </w:tcPr>
          <w:p>
            <w:r>
              <w:t xml:space="preserve">p (at least this many)</w:t>
            </w:r>
          </w:p>
        </w:tc>
        <w:tc>
          <w:tcPr>
            <w:tcW w:w="3700" w:type="dxa"/>
            <w:shd w:val="clear" w:color="auto" w:fill="E2E8F0"/>
          </w:tcPr>
          <w:p>
            <w:r>
              <w:t xml:space="preserve">Subzones</w:t>
            </w:r>
          </w:p>
        </w:tc>
      </w:tr>
      <w:tr>
        <w:trPr>
          <w:cantSplit/>
        </w:trPr>
        <w:tc>
          <w:tcPr>
            <w:tcW w:w="1300" w:type="dxa"/>
          </w:tcPr>
          <w:p>
            <w:r>
              <w:t xml:space="preserve">Residents</w:t>
            </w:r>
          </w:p>
        </w:tc>
        <w:tc>
          <w:tcPr>
            <w:tcW w:w="1800" w:type="dxa"/>
          </w:tcPr>
          <w:p>
            <w:r>
              <w:t xml:space="preserve">4</w:t>
            </w:r>
          </w:p>
        </w:tc>
        <w:tc>
          <w:tcPr>
            <w:tcW w:w="1600" w:type="dxa"/>
          </w:tcPr>
          <w:p>
            <w:r>
              <w:t xml:space="preserve">3.1</w:t>
            </w:r>
          </w:p>
        </w:tc>
        <w:tc>
          <w:tcPr>
            <w:tcW w:w="1500" w:type="dxa"/>
          </w:tcPr>
          <w:p>
            <w:r>
              <w:t xml:space="preserve">0.38</w:t>
            </w:r>
          </w:p>
        </w:tc>
        <w:tc>
          <w:tcPr>
            <w:tcW w:w="3700" w:type="dxa"/>
          </w:tcPr>
          <w:p>
            <w:r>
              <w:t xml:space="preserve">Geylang East; Katong; Midview; Serangoon Central</w:t>
            </w:r>
          </w:p>
        </w:tc>
      </w:tr>
      <w:tr>
        <w:trPr>
          <w:cantSplit/>
        </w:trPr>
        <w:tc>
          <w:tcPr>
            <w:tcW w:w="1300" w:type="dxa"/>
          </w:tcPr>
          <w:p>
            <w:r>
              <w:t xml:space="preserve">All places</w:t>
            </w:r>
          </w:p>
        </w:tc>
        <w:tc>
          <w:tcPr>
            <w:tcW w:w="1800" w:type="dxa"/>
          </w:tcPr>
          <w:p>
            <w:r>
              <w:t xml:space="preserve">4</w:t>
            </w:r>
          </w:p>
        </w:tc>
        <w:tc>
          <w:tcPr>
            <w:tcW w:w="1600" w:type="dxa"/>
          </w:tcPr>
          <w:p>
            <w:r>
              <w:t xml:space="preserve">3.1</w:t>
            </w:r>
          </w:p>
        </w:tc>
        <w:tc>
          <w:tcPr>
            <w:tcW w:w="1500" w:type="dxa"/>
          </w:tcPr>
          <w:p>
            <w:r>
              <w:t xml:space="preserve">0.37</w:t>
            </w:r>
          </w:p>
        </w:tc>
        <w:tc>
          <w:tcPr>
            <w:tcW w:w="3700" w:type="dxa"/>
          </w:tcPr>
          <w:p>
            <w:r>
              <w:t xml:space="preserve">Geylang East; Kampong Ubi; Katong; Woodlands Regional Centre</w:t>
            </w:r>
          </w:p>
        </w:tc>
      </w:tr>
    </w:tbl>
    <w:p/>
    <w:p>
      <w:r>
        <w:t xml:space="preserve">4 of the residents' top 20 lie in those areas against 3.1 expected by chance, which is not distinguishable from chance. The two indices agree only weakly.</w:t>
      </w:r>
    </w:p>
    <w:p>
      <w:pPr>
        <w:pStyle w:val="Heading2"/>
      </w:pPr>
      <w:r>
        <w:t xml:space="preserve">5.3 Ablations and controlled comparisons</w:t>
      </w:r>
    </w:p>
    <w:p>
      <w:r>
        <w:t xml:space="preserve">Each test rebuilds the score with one change and counts how many of the production top-20 subzones leave, compared with the noise floor of 10.9.</w:t>
      </w:r>
    </w:p>
    <w:p>
      <w:pPr>
        <w:pStyle w:val="Heading3"/>
      </w:pPr>
      <w:r>
        <w:t xml:space="preserve">5.3.1 Pillars and aggregation</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900"/>
        <w:gridCol w:w="2000"/>
        <w:gridCol w:w="2400"/>
        <w:gridCol w:w="1600"/>
      </w:tblGrid>
      <w:tr>
        <w:trPr>
          <w:tblHeader/>
        </w:trPr>
        <w:tc>
          <w:tcPr>
            <w:tcW w:w="3900" w:type="dxa"/>
            <w:shd w:val="clear" w:color="auto" w:fill="E2E8F0"/>
          </w:tcPr>
          <w:p>
            <w:r>
              <w:t xml:space="preserve">Change</w:t>
            </w:r>
          </w:p>
        </w:tc>
        <w:tc>
          <w:tcPr>
            <w:tcW w:w="2000" w:type="dxa"/>
            <w:shd w:val="clear" w:color="auto" w:fill="E2E8F0"/>
          </w:tcPr>
          <w:p>
            <w:r>
              <w:t xml:space="preserve">Top-20 subzones changed</w:t>
            </w:r>
          </w:p>
        </w:tc>
        <w:tc>
          <w:tcPr>
            <w:tcW w:w="2400" w:type="dxa"/>
            <w:shd w:val="clear" w:color="auto" w:fill="E2E8F0"/>
          </w:tcPr>
          <w:p>
            <w:r>
              <w:t xml:space="preserve">Rank correlation with production</w:t>
            </w:r>
          </w:p>
        </w:tc>
        <w:tc>
          <w:tcPr>
            <w:tcW w:w="1600" w:type="dxa"/>
            <w:shd w:val="clear" w:color="auto" w:fill="E2E8F0"/>
          </w:tcPr>
          <w:p>
            <w:r>
              <w:t xml:space="preserve">Against noise floor</w:t>
            </w:r>
          </w:p>
        </w:tc>
      </w:tr>
      <w:tr>
        <w:trPr>
          <w:cantSplit/>
        </w:trPr>
        <w:tc>
          <w:tcPr>
            <w:tcW w:w="3900" w:type="dxa"/>
          </w:tcPr>
          <w:p>
            <w:r>
              <w:t xml:space="preserve">Without heat exposure</w:t>
            </w:r>
          </w:p>
        </w:tc>
        <w:tc>
          <w:tcPr>
            <w:tcW w:w="2000" w:type="dxa"/>
          </w:tcPr>
          <w:p>
            <w:r>
              <w:t xml:space="preserve">12</w:t>
            </w:r>
          </w:p>
        </w:tc>
        <w:tc>
          <w:tcPr>
            <w:tcW w:w="2400" w:type="dxa"/>
          </w:tcPr>
          <w:p>
            <w:r>
              <w:t xml:space="preserve">0.898</w:t>
            </w:r>
          </w:p>
        </w:tc>
        <w:tc>
          <w:tcPr>
            <w:tcW w:w="1600" w:type="dxa"/>
          </w:tcPr>
          <w:p>
            <w:r>
              <w:t xml:space="preserve">Exceeds</w:t>
            </w:r>
          </w:p>
        </w:tc>
      </w:tr>
      <w:tr>
        <w:trPr>
          <w:cantSplit/>
        </w:trPr>
        <w:tc>
          <w:tcPr>
            <w:tcW w:w="3900" w:type="dxa"/>
          </w:tcPr>
          <w:p>
            <w:r>
              <w:t xml:space="preserve">Without sensitivity</w:t>
            </w:r>
          </w:p>
        </w:tc>
        <w:tc>
          <w:tcPr>
            <w:tcW w:w="2000" w:type="dxa"/>
          </w:tcPr>
          <w:p>
            <w:r>
              <w:t xml:space="preserve">12</w:t>
            </w:r>
          </w:p>
        </w:tc>
        <w:tc>
          <w:tcPr>
            <w:tcW w:w="2400" w:type="dxa"/>
          </w:tcPr>
          <w:p>
            <w:r>
              <w:t xml:space="preserve">0.872</w:t>
            </w:r>
          </w:p>
        </w:tc>
        <w:tc>
          <w:tcPr>
            <w:tcW w:w="1600" w:type="dxa"/>
          </w:tcPr>
          <w:p>
            <w:r>
              <w:t xml:space="preserve">Exceeds</w:t>
            </w:r>
          </w:p>
        </w:tc>
      </w:tr>
      <w:tr>
        <w:trPr>
          <w:cantSplit/>
        </w:trPr>
        <w:tc>
          <w:tcPr>
            <w:tcW w:w="3900" w:type="dxa"/>
          </w:tcPr>
          <w:p>
            <w:r>
              <w:t xml:space="preserve">Without missing greenery</w:t>
            </w:r>
          </w:p>
        </w:tc>
        <w:tc>
          <w:tcPr>
            <w:tcW w:w="2000" w:type="dxa"/>
          </w:tcPr>
          <w:p>
            <w:r>
              <w:t xml:space="preserve">0</w:t>
            </w:r>
          </w:p>
        </w:tc>
        <w:tc>
          <w:tcPr>
            <w:tcW w:w="2400" w:type="dxa"/>
          </w:tcPr>
          <w:p>
            <w:r>
              <w:t xml:space="preserve">0.969</w:t>
            </w:r>
          </w:p>
        </w:tc>
        <w:tc>
          <w:tcPr>
            <w:tcW w:w="1600" w:type="dxa"/>
          </w:tcPr>
          <w:p>
            <w:r>
              <w:t xml:space="preserve">Within</w:t>
            </w:r>
          </w:p>
        </w:tc>
      </w:tr>
      <w:tr>
        <w:trPr>
          <w:cantSplit/>
        </w:trPr>
        <w:tc>
          <w:tcPr>
            <w:tcW w:w="3900" w:type="dxa"/>
          </w:tcPr>
          <w:p>
            <w:r>
              <w:t xml:space="preserve">z-score instead of min-max aggregation</w:t>
            </w:r>
          </w:p>
        </w:tc>
        <w:tc>
          <w:tcPr>
            <w:tcW w:w="2000" w:type="dxa"/>
          </w:tcPr>
          <w:p>
            <w:r>
              <w:t xml:space="preserve">3</w:t>
            </w:r>
          </w:p>
        </w:tc>
        <w:tc>
          <w:tcPr>
            <w:tcW w:w="2400" w:type="dxa"/>
          </w:tcPr>
          <w:p>
            <w:r>
              <w:t xml:space="preserve">0.998</w:t>
            </w:r>
          </w:p>
        </w:tc>
        <w:tc>
          <w:tcPr>
            <w:tcW w:w="1600" w:type="dxa"/>
          </w:tcPr>
          <w:p>
            <w:r>
              <w:t xml:space="preserve">Within</w:t>
            </w:r>
          </w:p>
        </w:tc>
      </w:tr>
    </w:tbl>
    <w:p/>
    <w:p>
      <w:r>
        <w:t xml:space="preserve">Heat and sensitivity each carry information the others do not: removing either changes more of the top 20 than noise does. Removing missing greenery leaves the top-20 list unchanged, but it does change the ranking:</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4900"/>
        <w:gridCol w:w="5000"/>
      </w:tblGrid>
      <w:tr>
        <w:trPr>
          <w:tblHeader/>
        </w:trPr>
        <w:tc>
          <w:tcPr>
            <w:tcW w:w="4900" w:type="dxa"/>
            <w:shd w:val="clear" w:color="auto" w:fill="E2E8F0"/>
          </w:tcPr>
          <w:p>
            <w:r>
              <w:t xml:space="preserve">Without the missing-greenery pillar</w:t>
            </w:r>
          </w:p>
        </w:tc>
        <w:tc>
          <w:tcPr>
            <w:tcW w:w="5000" w:type="dxa"/>
            <w:shd w:val="clear" w:color="auto" w:fill="E2E8F0"/>
          </w:tcPr>
          <w:p>
            <w:r>
              <w:t xml:space="preserve">Result</w:t>
            </w:r>
          </w:p>
        </w:tc>
      </w:tr>
      <w:tr>
        <w:trPr>
          <w:cantSplit/>
        </w:trPr>
        <w:tc>
          <w:tcPr>
            <w:tcW w:w="4900" w:type="dxa"/>
          </w:tcPr>
          <w:p>
            <w:r>
              <w:t xml:space="preserve">Top-20 subzones changed</w:t>
            </w:r>
          </w:p>
        </w:tc>
        <w:tc>
          <w:tcPr>
            <w:tcW w:w="5000" w:type="dxa"/>
          </w:tcPr>
          <w:p>
            <w:r>
              <w:t xml:space="preserve">0</w:t>
            </w:r>
          </w:p>
        </w:tc>
      </w:tr>
      <w:tr>
        <w:trPr>
          <w:cantSplit/>
        </w:trPr>
        <w:tc>
          <w:tcPr>
            <w:tcW w:w="4900" w:type="dxa"/>
          </w:tcPr>
          <w:p>
            <w:r>
              <w:t xml:space="preserve">Top-10 and top-50 subzones changed</w:t>
            </w:r>
          </w:p>
        </w:tc>
        <w:tc>
          <w:tcPr>
            <w:tcW w:w="5000" w:type="dxa"/>
          </w:tcPr>
          <w:p>
            <w:r>
              <w:t xml:space="preserve">3 and 4</w:t>
            </w:r>
          </w:p>
        </w:tc>
      </w:tr>
      <w:tr>
        <w:trPr>
          <w:cantSplit/>
        </w:trPr>
        <w:tc>
          <w:tcPr>
            <w:tcW w:w="4900" w:type="dxa"/>
          </w:tcPr>
          <w:p>
            <w:r>
              <w:t xml:space="preserve">Rank shift within the top 20</w:t>
            </w:r>
          </w:p>
        </w:tc>
        <w:tc>
          <w:tcPr>
            <w:tcW w:w="5000" w:type="dxa"/>
          </w:tcPr>
          <w:p>
            <w:r>
              <w:t xml:space="preserve">2.5 places on average, up to 12</w:t>
            </w:r>
          </w:p>
        </w:tc>
      </w:tr>
      <w:tr>
        <w:trPr>
          <w:cantSplit/>
        </w:trPr>
        <w:tc>
          <w:tcPr>
            <w:tcW w:w="4900" w:type="dxa"/>
          </w:tcPr>
          <w:p>
            <w:r>
              <w:t xml:space="preserve">Rank shift across all ranked subzones</w:t>
            </w:r>
          </w:p>
        </w:tc>
        <w:tc>
          <w:tcPr>
            <w:tcW w:w="5000" w:type="dxa"/>
          </w:tcPr>
          <w:p>
            <w:r>
              <w:t xml:space="preserve">11.3 places on average; 101 of 211 move 10 or more places</w:t>
            </w:r>
          </w:p>
        </w:tc>
      </w:tr>
    </w:tbl>
    <w:p/>
    <w:p>
      <w:r>
        <w:t xml:space="preserve">Greenery therefore shapes the order but not the cut at 20. The subzones that make the top 20 are already the hot, densely populated ones, and they have little vegetation: 9 of the top 20 have essentially none, and 54% of all ranked subzones have under 5%. At the top of the list greenery reinforces what heat and sensitivity already show. The pillar stays in the score for its planning meaning, since greening is the intervention being prioritised. Standardising the pillars instead of min-max scaling changes 3 of the top 20.</w:t>
      </w:r>
    </w:p>
    <w:p>
      <w:pPr>
        <w:pStyle w:val="Heading3"/>
      </w:pPr>
      <w:r>
        <w:t xml:space="preserve">5.3.2 Weighting</w:t>
      </w:r>
    </w:p>
    <w:p>
      <w:r>
        <w:t xml:space="preserve">Equal weights instead of PCA weights change 3 of the top 20 (rank correlation 0.997). The data-derived weights are close to equal, so the choice has little effect.</w:t>
      </w:r>
    </w:p>
    <w:p>
      <w:pPr>
        <w:pStyle w:val="Heading3"/>
      </w:pPr>
      <w:r>
        <w:t xml:space="preserve">5.3.3 Sensitivity formula</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5300"/>
        <w:gridCol w:w="2100"/>
        <w:gridCol w:w="2500"/>
      </w:tblGrid>
      <w:tr>
        <w:trPr>
          <w:tblHeader/>
        </w:trPr>
        <w:tc>
          <w:tcPr>
            <w:tcW w:w="5300" w:type="dxa"/>
            <w:shd w:val="clear" w:color="auto" w:fill="E2E8F0"/>
          </w:tcPr>
          <w:p>
            <w:r>
              <w:t xml:space="preserve">Alternative sensitivity formula</w:t>
            </w:r>
          </w:p>
        </w:tc>
        <w:tc>
          <w:tcPr>
            <w:tcW w:w="2100" w:type="dxa"/>
            <w:shd w:val="clear" w:color="auto" w:fill="E2E8F0"/>
          </w:tcPr>
          <w:p>
            <w:r>
              <w:t xml:space="preserve">Top-20 subzones changed</w:t>
            </w:r>
          </w:p>
        </w:tc>
        <w:tc>
          <w:tcPr>
            <w:tcW w:w="2500" w:type="dxa"/>
            <w:shd w:val="clear" w:color="auto" w:fill="E2E8F0"/>
          </w:tcPr>
          <w:p>
            <w:r>
              <w:t xml:space="preserve">Rank correlation with production</w:t>
            </w:r>
          </w:p>
        </w:tc>
      </w:tr>
      <w:tr>
        <w:trPr>
          <w:cantSplit/>
        </w:trPr>
        <w:tc>
          <w:tcPr>
            <w:tcW w:w="5300" w:type="dxa"/>
          </w:tcPr>
          <w:p>
            <w:r>
              <w:t xml:space="preserve">population count + elderly share</w:t>
            </w:r>
          </w:p>
        </w:tc>
        <w:tc>
          <w:tcPr>
            <w:tcW w:w="2100" w:type="dxa"/>
          </w:tcPr>
          <w:p>
            <w:r>
              <w:t xml:space="preserve">8</w:t>
            </w:r>
          </w:p>
        </w:tc>
        <w:tc>
          <w:tcPr>
            <w:tcW w:w="2500" w:type="dxa"/>
          </w:tcPr>
          <w:p>
            <w:r>
              <w:t xml:space="preserve">0.937</w:t>
            </w:r>
          </w:p>
        </w:tc>
      </w:tr>
      <w:tr>
        <w:trPr>
          <w:cantSplit/>
        </w:trPr>
        <w:tc>
          <w:tcPr>
            <w:tcW w:w="5300" w:type="dxa"/>
          </w:tcPr>
          <w:p>
            <w:r>
              <w:t xml:space="preserve">density 0.75 / elderly share 0.25</w:t>
            </w:r>
          </w:p>
        </w:tc>
        <w:tc>
          <w:tcPr>
            <w:tcW w:w="2100" w:type="dxa"/>
          </w:tcPr>
          <w:p>
            <w:r>
              <w:t xml:space="preserve">8</w:t>
            </w:r>
          </w:p>
        </w:tc>
        <w:tc>
          <w:tcPr>
            <w:tcW w:w="2500" w:type="dxa"/>
          </w:tcPr>
          <w:p>
            <w:r>
              <w:t xml:space="preserve">0.968</w:t>
            </w:r>
          </w:p>
        </w:tc>
      </w:tr>
      <w:tr>
        <w:trPr>
          <w:cantSplit/>
        </w:trPr>
        <w:tc>
          <w:tcPr>
            <w:tcW w:w="5300" w:type="dxa"/>
          </w:tcPr>
          <w:p>
            <w:r>
              <w:t xml:space="preserve">density 0.25 / elderly share 0.75</w:t>
            </w:r>
          </w:p>
        </w:tc>
        <w:tc>
          <w:tcPr>
            <w:tcW w:w="2100" w:type="dxa"/>
          </w:tcPr>
          <w:p>
            <w:r>
              <w:t xml:space="preserve">7</w:t>
            </w:r>
          </w:p>
        </w:tc>
        <w:tc>
          <w:tcPr>
            <w:tcW w:w="2500" w:type="dxa"/>
          </w:tcPr>
          <w:p>
            <w:r>
              <w:t xml:space="preserve">0.956</w:t>
            </w:r>
          </w:p>
        </w:tc>
      </w:tr>
      <w:tr>
        <w:trPr>
          <w:cantSplit/>
        </w:trPr>
        <w:tc>
          <w:tcPr>
            <w:tcW w:w="5300" w:type="dxa"/>
          </w:tcPr>
          <w:p>
            <w:r>
              <w:t xml:space="preserve">elderly share only</w:t>
            </w:r>
          </w:p>
        </w:tc>
        <w:tc>
          <w:tcPr>
            <w:tcW w:w="2100" w:type="dxa"/>
          </w:tcPr>
          <w:p>
            <w:r>
              <w:t xml:space="preserve">9</w:t>
            </w:r>
          </w:p>
        </w:tc>
        <w:tc>
          <w:tcPr>
            <w:tcW w:w="2500" w:type="dxa"/>
          </w:tcPr>
          <w:p>
            <w:r>
              <w:t xml:space="preserve">0.890</w:t>
            </w:r>
          </w:p>
        </w:tc>
      </w:tr>
      <w:tr>
        <w:trPr>
          <w:cantSplit/>
        </w:trPr>
        <w:tc>
          <w:tcPr>
            <w:tcW w:w="5300" w:type="dxa"/>
          </w:tcPr>
          <w:p>
            <w:r>
              <w:t xml:space="preserve">population density only</w:t>
            </w:r>
          </w:p>
        </w:tc>
        <w:tc>
          <w:tcPr>
            <w:tcW w:w="2100" w:type="dxa"/>
          </w:tcPr>
          <w:p>
            <w:r>
              <w:t xml:space="preserve">10</w:t>
            </w:r>
          </w:p>
        </w:tc>
        <w:tc>
          <w:tcPr>
            <w:tcW w:w="2500" w:type="dxa"/>
          </w:tcPr>
          <w:p>
            <w:r>
              <w:t xml:space="preserve">0.928</w:t>
            </w:r>
          </w:p>
        </w:tc>
      </w:tr>
      <w:tr>
        <w:trPr>
          <w:cantSplit/>
        </w:trPr>
        <w:tc>
          <w:tcPr>
            <w:tcW w:w="5300" w:type="dxa"/>
          </w:tcPr>
          <w:p>
            <w:r>
              <w:t xml:space="preserve">elderly density only (elderly residents per km²)</w:t>
            </w:r>
          </w:p>
        </w:tc>
        <w:tc>
          <w:tcPr>
            <w:tcW w:w="2100" w:type="dxa"/>
          </w:tcPr>
          <w:p>
            <w:r>
              <w:t xml:space="preserve">4</w:t>
            </w:r>
          </w:p>
        </w:tc>
        <w:tc>
          <w:tcPr>
            <w:tcW w:w="2500" w:type="dxa"/>
          </w:tcPr>
          <w:p>
            <w:r>
              <w:t xml:space="preserve">0.990</w:t>
            </w:r>
          </w:p>
        </w:tc>
      </w:tr>
      <w:tr>
        <w:trPr>
          <w:cantSplit/>
        </w:trPr>
        <w:tc>
          <w:tcPr>
            <w:tcW w:w="5300" w:type="dxa"/>
          </w:tcPr>
          <w:p>
            <w:r>
              <w:t xml:space="preserve">elderly density + elderly share</w:t>
            </w:r>
          </w:p>
        </w:tc>
        <w:tc>
          <w:tcPr>
            <w:tcW w:w="2100" w:type="dxa"/>
          </w:tcPr>
          <w:p>
            <w:r>
              <w:t xml:space="preserve">5</w:t>
            </w:r>
          </w:p>
        </w:tc>
        <w:tc>
          <w:tcPr>
            <w:tcW w:w="2500" w:type="dxa"/>
          </w:tcPr>
          <w:p>
            <w:r>
              <w:t xml:space="preserve">0.962</w:t>
            </w:r>
          </w:p>
        </w:tc>
      </w:tr>
    </w:tbl>
    <w:p/>
    <w:p>
      <w:r>
        <w:t xml:space="preserve">How sensitivity is defined matters more than any other method choice (4 to 10 subzones), though every alternative stays within the noise floor. Population density was chosen over raw count (decided 19 September 2026); raw count is the main alternative reported here.</w:t>
      </w:r>
    </w:p>
    <w:p>
      <w:pPr>
        <w:pStyle w:val="Heading3"/>
      </w:pPr>
      <w:r>
        <w:t xml:space="preserve">5.3.4 Minimum-residents threshold</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300"/>
        <w:gridCol w:w="3300"/>
        <w:gridCol w:w="3300"/>
      </w:tblGrid>
      <w:tr>
        <w:trPr>
          <w:tblHeader/>
        </w:trPr>
        <w:tc>
          <w:tcPr>
            <w:tcW w:w="3300" w:type="dxa"/>
            <w:shd w:val="clear" w:color="auto" w:fill="E2E8F0"/>
          </w:tcPr>
          <w:p>
            <w:r>
              <w:t xml:space="preserve">Minimum residents</w:t>
            </w:r>
          </w:p>
        </w:tc>
        <w:tc>
          <w:tcPr>
            <w:tcW w:w="3300" w:type="dxa"/>
            <w:shd w:val="clear" w:color="auto" w:fill="E2E8F0"/>
          </w:tcPr>
          <w:p>
            <w:r>
              <w:t xml:space="preserve">Subzones ranked</w:t>
            </w:r>
          </w:p>
        </w:tc>
        <w:tc>
          <w:tcPr>
            <w:tcW w:w="3300" w:type="dxa"/>
            <w:shd w:val="clear" w:color="auto" w:fill="E2E8F0"/>
          </w:tcPr>
          <w:p>
            <w:r>
              <w:t xml:space="preserve">Top-20 subzones changed</w:t>
            </w:r>
          </w:p>
        </w:tc>
      </w:tr>
      <w:tr>
        <w:trPr>
          <w:cantSplit/>
        </w:trPr>
        <w:tc>
          <w:tcPr>
            <w:tcW w:w="3300" w:type="dxa"/>
          </w:tcPr>
          <w:p>
            <w:r>
              <w:t xml:space="preserve">0</w:t>
            </w:r>
          </w:p>
        </w:tc>
        <w:tc>
          <w:tcPr>
            <w:tcW w:w="3300" w:type="dxa"/>
          </w:tcPr>
          <w:p>
            <w:r>
              <w:t xml:space="preserve">332</w:t>
            </w:r>
          </w:p>
        </w:tc>
        <w:tc>
          <w:tcPr>
            <w:tcW w:w="3300" w:type="dxa"/>
          </w:tcPr>
          <w:p>
            <w:r>
              <w:t xml:space="preserve">8</w:t>
            </w:r>
          </w:p>
        </w:tc>
      </w:tr>
      <w:tr>
        <w:trPr>
          <w:cantSplit/>
        </w:trPr>
        <w:tc>
          <w:tcPr>
            <w:tcW w:w="3300" w:type="dxa"/>
          </w:tcPr>
          <w:p>
            <w:r>
              <w:t xml:space="preserve">100</w:t>
            </w:r>
          </w:p>
        </w:tc>
        <w:tc>
          <w:tcPr>
            <w:tcW w:w="3300" w:type="dxa"/>
          </w:tcPr>
          <w:p>
            <w:r>
              <w:t xml:space="preserve">235</w:t>
            </w:r>
          </w:p>
        </w:tc>
        <w:tc>
          <w:tcPr>
            <w:tcW w:w="3300" w:type="dxa"/>
          </w:tcPr>
          <w:p>
            <w:r>
              <w:t xml:space="preserve">7</w:t>
            </w:r>
          </w:p>
        </w:tc>
      </w:tr>
      <w:tr>
        <w:trPr>
          <w:cantSplit/>
        </w:trPr>
        <w:tc>
          <w:tcPr>
            <w:tcW w:w="3300" w:type="dxa"/>
          </w:tcPr>
          <w:p>
            <w:r>
              <w:t xml:space="preserve">250</w:t>
            </w:r>
          </w:p>
        </w:tc>
        <w:tc>
          <w:tcPr>
            <w:tcW w:w="3300" w:type="dxa"/>
          </w:tcPr>
          <w:p>
            <w:r>
              <w:t xml:space="preserve">222</w:t>
            </w:r>
          </w:p>
        </w:tc>
        <w:tc>
          <w:tcPr>
            <w:tcW w:w="3300" w:type="dxa"/>
          </w:tcPr>
          <w:p>
            <w:r>
              <w:t xml:space="preserve">1</w:t>
            </w:r>
          </w:p>
        </w:tc>
      </w:tr>
      <w:tr>
        <w:trPr>
          <w:cantSplit/>
        </w:trPr>
        <w:tc>
          <w:tcPr>
            <w:tcW w:w="3300" w:type="dxa"/>
          </w:tcPr>
          <w:p>
            <w:r>
              <w:t xml:space="preserve">500 (production)</w:t>
            </w:r>
          </w:p>
        </w:tc>
        <w:tc>
          <w:tcPr>
            <w:tcW w:w="3300" w:type="dxa"/>
          </w:tcPr>
          <w:p>
            <w:r>
              <w:t xml:space="preserve">211</w:t>
            </w:r>
          </w:p>
        </w:tc>
        <w:tc>
          <w:tcPr>
            <w:tcW w:w="3300" w:type="dxa"/>
          </w:tcPr>
          <w:p>
            <w:r>
              <w:t xml:space="preserve">0</w:t>
            </w:r>
          </w:p>
        </w:tc>
      </w:tr>
      <w:tr>
        <w:trPr>
          <w:cantSplit/>
        </w:trPr>
        <w:tc>
          <w:tcPr>
            <w:tcW w:w="3300" w:type="dxa"/>
          </w:tcPr>
          <w:p>
            <w:r>
              <w:t xml:space="preserve">1000</w:t>
            </w:r>
          </w:p>
        </w:tc>
        <w:tc>
          <w:tcPr>
            <w:tcW w:w="3300" w:type="dxa"/>
          </w:tcPr>
          <w:p>
            <w:r>
              <w:t xml:space="preserve">201</w:t>
            </w:r>
          </w:p>
        </w:tc>
        <w:tc>
          <w:tcPr>
            <w:tcW w:w="3300" w:type="dxa"/>
          </w:tcPr>
          <w:p>
            <w:r>
              <w:t xml:space="preserve">1</w:t>
            </w:r>
          </w:p>
        </w:tc>
      </w:tr>
      <w:tr>
        <w:trPr>
          <w:cantSplit/>
        </w:trPr>
        <w:tc>
          <w:tcPr>
            <w:tcW w:w="3300" w:type="dxa"/>
          </w:tcPr>
          <w:p>
            <w:r>
              <w:t xml:space="preserve">2000</w:t>
            </w:r>
          </w:p>
        </w:tc>
        <w:tc>
          <w:tcPr>
            <w:tcW w:w="3300" w:type="dxa"/>
          </w:tcPr>
          <w:p>
            <w:r>
              <w:t xml:space="preserve">186</w:t>
            </w:r>
          </w:p>
        </w:tc>
        <w:tc>
          <w:tcPr>
            <w:tcW w:w="3300" w:type="dxa"/>
          </w:tcPr>
          <w:p>
            <w:r>
              <w:t xml:space="preserve">3</w:t>
            </w:r>
          </w:p>
        </w:tc>
      </w:tr>
    </w:tbl>
    <w:p/>
    <w:p>
      <w:r>
        <w:t xml:space="preserve">Thresholds from 250 to 1,000 residents give almost the same top 20 (at most 1 change). Lower thresholds change more (8 with none, 7 at 100), because subzones with a handful of residents get extreme sensitivity values; a high threshold of 2,000 changes 3.</w:t>
      </w:r>
    </w:p>
    <w:p>
      <w:pPr>
        <w:pStyle w:val="Heading3"/>
      </w:pPr>
      <w:r>
        <w:t xml:space="preserve">5.3.5 Residents view against all-places view</w:t>
      </w:r>
    </w:p>
    <w:p>
      <w:r>
        <w:t xml:space="preserve">Only 3 subzones are in both views' top 20; 15 of the all-places top 20 have too few residents to be ranked in the residents view (industrial estates and the port). On the subzones both views rank, their orders correlate at 0.87. The two views answer different questions and are reported separately.</w:t>
      </w:r>
    </w:p>
    <w:p>
      <w:pPr>
        <w:pStyle w:val="Heading2"/>
      </w:pPr>
      <w:r>
        <w:t xml:space="preserve">5.4 Decision impact across the project</w:t>
      </w:r>
    </w:p>
    <w:p>
      <w:r>
        <w:t xml:space="preserve">This table collects every decision-impact test in the report: each method choice, the range of top-20 subzones it changes across the alternatives tested, and the comparison with measurement noise.</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700"/>
        <w:gridCol w:w="1900"/>
        <w:gridCol w:w="2200"/>
        <w:gridCol w:w="2100"/>
      </w:tblGrid>
      <w:tr>
        <w:trPr>
          <w:tblHeader/>
        </w:trPr>
        <w:tc>
          <w:tcPr>
            <w:tcW w:w="3700" w:type="dxa"/>
            <w:shd w:val="clear" w:color="auto" w:fill="E2E8F0"/>
          </w:tcPr>
          <w:p>
            <w:r>
              <w:t xml:space="preserve">Choice</w:t>
            </w:r>
          </w:p>
        </w:tc>
        <w:tc>
          <w:tcPr>
            <w:tcW w:w="1900" w:type="dxa"/>
            <w:shd w:val="clear" w:color="auto" w:fill="E2E8F0"/>
          </w:tcPr>
          <w:p>
            <w:r>
              <w:t xml:space="preserve">Tested</w:t>
            </w:r>
          </w:p>
        </w:tc>
        <w:tc>
          <w:tcPr>
            <w:tcW w:w="2200" w:type="dxa"/>
            <w:shd w:val="clear" w:color="auto" w:fill="E2E8F0"/>
          </w:tcPr>
          <w:p>
            <w:r>
              <w:t xml:space="preserve">Top-20 subzones changed</w:t>
            </w:r>
          </w:p>
        </w:tc>
        <w:tc>
          <w:tcPr>
            <w:tcW w:w="2100" w:type="dxa"/>
            <w:shd w:val="clear" w:color="auto" w:fill="E2E8F0"/>
          </w:tcPr>
          <w:p>
            <w:r>
              <w:t xml:space="preserve">Against noise floor</w:t>
            </w:r>
          </w:p>
        </w:tc>
      </w:tr>
      <w:tr>
        <w:trPr>
          <w:cantSplit/>
        </w:trPr>
        <w:tc>
          <w:tcPr>
            <w:tcW w:w="3700" w:type="dxa"/>
          </w:tcPr>
          <w:p>
            <w:r>
              <w:t xml:space="preserve">Measurement noise alone (yardstick)</w:t>
            </w:r>
          </w:p>
        </w:tc>
        <w:tc>
          <w:tcPr>
            <w:tcW w:w="1900" w:type="dxa"/>
          </w:tcPr>
          <w:p>
            <w:r>
              <w:t xml:space="preserve">1,000 bootstrap draws</w:t>
            </w:r>
          </w:p>
        </w:tc>
        <w:tc>
          <w:tcPr>
            <w:tcW w:w="2200" w:type="dxa"/>
          </w:tcPr>
          <w:p>
            <w:r>
              <w:t xml:space="preserve">10.9 on average</w:t>
            </w:r>
          </w:p>
        </w:tc>
        <w:tc>
          <w:tcPr>
            <w:tcW w:w="2100" w:type="dxa"/>
          </w:tcPr>
          <w:p>
            <w:r>
              <w:t xml:space="preserve">—</w:t>
            </w:r>
          </w:p>
        </w:tc>
      </w:tr>
      <w:tr>
        <w:trPr>
          <w:cantSplit/>
        </w:trPr>
        <w:tc>
          <w:tcPr>
            <w:tcW w:w="3700" w:type="dxa"/>
          </w:tcPr>
          <w:p>
            <w:r>
              <w:t xml:space="preserve">Remove a pillar</w:t>
            </w:r>
          </w:p>
        </w:tc>
        <w:tc>
          <w:tcPr>
            <w:tcW w:w="1900" w:type="dxa"/>
          </w:tcPr>
          <w:p>
            <w:r>
              <w:t xml:space="preserve">3 pillars</w:t>
            </w:r>
          </w:p>
        </w:tc>
        <w:tc>
          <w:tcPr>
            <w:tcW w:w="2200" w:type="dxa"/>
          </w:tcPr>
          <w:p>
            <w:r>
              <w:t xml:space="preserve">0–12</w:t>
            </w:r>
          </w:p>
        </w:tc>
        <w:tc>
          <w:tcPr>
            <w:tcW w:w="2100" w:type="dxa"/>
          </w:tcPr>
          <w:p>
            <w:r>
              <w:t xml:space="preserve">Heat and sensitivity exceed</w:t>
            </w:r>
          </w:p>
        </w:tc>
      </w:tr>
      <w:tr>
        <w:trPr>
          <w:cantSplit/>
        </w:trPr>
        <w:tc>
          <w:tcPr>
            <w:tcW w:w="3700" w:type="dxa"/>
          </w:tcPr>
          <w:p>
            <w:r>
              <w:t xml:space="preserve">Sensitivity formula</w:t>
            </w:r>
          </w:p>
        </w:tc>
        <w:tc>
          <w:tcPr>
            <w:tcW w:w="1900" w:type="dxa"/>
          </w:tcPr>
          <w:p>
            <w:r>
              <w:t xml:space="preserve">7 alternatives</w:t>
            </w:r>
          </w:p>
        </w:tc>
        <w:tc>
          <w:tcPr>
            <w:tcW w:w="2200" w:type="dxa"/>
          </w:tcPr>
          <w:p>
            <w:r>
              <w:t xml:space="preserve">4–10</w:t>
            </w:r>
          </w:p>
        </w:tc>
        <w:tc>
          <w:tcPr>
            <w:tcW w:w="2100" w:type="dxa"/>
          </w:tcPr>
          <w:p>
            <w:r>
              <w:t xml:space="preserve">Within</w:t>
            </w:r>
          </w:p>
        </w:tc>
      </w:tr>
      <w:tr>
        <w:trPr>
          <w:cantSplit/>
        </w:trPr>
        <w:tc>
          <w:tcPr>
            <w:tcW w:w="3700" w:type="dxa"/>
          </w:tcPr>
          <w:p>
            <w:r>
              <w:t xml:space="preserve">Greenery source (land-cover model or NDVI)</w:t>
            </w:r>
          </w:p>
        </w:tc>
        <w:tc>
          <w:tcPr>
            <w:tcW w:w="1900" w:type="dxa"/>
          </w:tcPr>
          <w:p>
            <w:r>
              <w:t xml:space="preserve">6 alternatives</w:t>
            </w:r>
          </w:p>
        </w:tc>
        <w:tc>
          <w:tcPr>
            <w:tcW w:w="2200" w:type="dxa"/>
          </w:tcPr>
          <w:p>
            <w:r>
              <w:t xml:space="preserve">1–8</w:t>
            </w:r>
          </w:p>
        </w:tc>
        <w:tc>
          <w:tcPr>
            <w:tcW w:w="2100" w:type="dxa"/>
          </w:tcPr>
          <w:p>
            <w:r>
              <w:t xml:space="preserve">Within</w:t>
            </w:r>
          </w:p>
        </w:tc>
      </w:tr>
      <w:tr>
        <w:trPr>
          <w:cantSplit/>
        </w:trPr>
        <w:tc>
          <w:tcPr>
            <w:tcW w:w="3700" w:type="dxa"/>
          </w:tcPr>
          <w:p>
            <w:r>
              <w:t xml:space="preserve">Minimum-residents threshold</w:t>
            </w:r>
          </w:p>
        </w:tc>
        <w:tc>
          <w:tcPr>
            <w:tcW w:w="1900" w:type="dxa"/>
          </w:tcPr>
          <w:p>
            <w:r>
              <w:t xml:space="preserve">5 alternatives</w:t>
            </w:r>
          </w:p>
        </w:tc>
        <w:tc>
          <w:tcPr>
            <w:tcW w:w="2200" w:type="dxa"/>
          </w:tcPr>
          <w:p>
            <w:r>
              <w:t xml:space="preserve">1–8</w:t>
            </w:r>
          </w:p>
        </w:tc>
        <w:tc>
          <w:tcPr>
            <w:tcW w:w="2100" w:type="dxa"/>
          </w:tcPr>
          <w:p>
            <w:r>
              <w:t xml:space="preserve">Within</w:t>
            </w:r>
          </w:p>
        </w:tc>
      </w:tr>
      <w:tr>
        <w:trPr>
          <w:cantSplit/>
        </w:trPr>
        <w:tc>
          <w:tcPr>
            <w:tcW w:w="3700" w:type="dxa"/>
          </w:tcPr>
          <w:p>
            <w:r>
              <w:t xml:space="preserve">Weighting (PCA vs equal)</w:t>
            </w:r>
          </w:p>
        </w:tc>
        <w:tc>
          <w:tcPr>
            <w:tcW w:w="1900" w:type="dxa"/>
          </w:tcPr>
          <w:p>
            <w:r>
              <w:t xml:space="preserve">1 alternative</w:t>
            </w:r>
          </w:p>
        </w:tc>
        <w:tc>
          <w:tcPr>
            <w:tcW w:w="2200" w:type="dxa"/>
          </w:tcPr>
          <w:p>
            <w:r>
              <w:t xml:space="preserve">3</w:t>
            </w:r>
          </w:p>
        </w:tc>
        <w:tc>
          <w:tcPr>
            <w:tcW w:w="2100" w:type="dxa"/>
          </w:tcPr>
          <w:p>
            <w:r>
              <w:t xml:space="preserve">Within</w:t>
            </w:r>
          </w:p>
        </w:tc>
      </w:tr>
      <w:tr>
        <w:trPr>
          <w:cantSplit/>
        </w:trPr>
        <w:tc>
          <w:tcPr>
            <w:tcW w:w="3700" w:type="dxa"/>
          </w:tcPr>
          <w:p>
            <w:r>
              <w:t xml:space="preserve">Aggregation (min-max vs z-score)</w:t>
            </w:r>
          </w:p>
        </w:tc>
        <w:tc>
          <w:tcPr>
            <w:tcW w:w="1900" w:type="dxa"/>
          </w:tcPr>
          <w:p>
            <w:r>
              <w:t xml:space="preserve">1 alternative</w:t>
            </w:r>
          </w:p>
        </w:tc>
        <w:tc>
          <w:tcPr>
            <w:tcW w:w="2200" w:type="dxa"/>
          </w:tcPr>
          <w:p>
            <w:r>
              <w:t xml:space="preserve">3</w:t>
            </w:r>
          </w:p>
        </w:tc>
        <w:tc>
          <w:tcPr>
            <w:tcW w:w="2100" w:type="dxa"/>
          </w:tcPr>
          <w:p>
            <w:r>
              <w:t xml:space="preserve">Within</w:t>
            </w:r>
          </w:p>
        </w:tc>
      </w:tr>
      <w:tr>
        <w:trPr>
          <w:cantSplit/>
        </w:trPr>
        <w:tc>
          <w:tcPr>
            <w:tcW w:w="3700" w:type="dxa"/>
          </w:tcPr>
          <w:p>
            <w:r>
              <w:t xml:space="preserve">Heat layer (30 m vs 10 m)</w:t>
            </w:r>
          </w:p>
        </w:tc>
        <w:tc>
          <w:tcPr>
            <w:tcW w:w="1900" w:type="dxa"/>
          </w:tcPr>
          <w:p>
            <w:r>
              <w:t xml:space="preserve">2 alternatives</w:t>
            </w:r>
          </w:p>
        </w:tc>
        <w:tc>
          <w:tcPr>
            <w:tcW w:w="2200" w:type="dxa"/>
          </w:tcPr>
          <w:p>
            <w:r>
              <w:t xml:space="preserve">0</w:t>
            </w:r>
          </w:p>
        </w:tc>
        <w:tc>
          <w:tcPr>
            <w:tcW w:w="2100" w:type="dxa"/>
          </w:tcPr>
          <w:p>
            <w:r>
              <w:t xml:space="preserve">Within</w:t>
            </w:r>
          </w:p>
        </w:tc>
      </w:tr>
    </w:tbl>
    <w:p/>
    <w:p>
      <w:r>
        <w:t xml:space="preserve">Only the score's structure, which pillars it contains, changes the top 20 by more than measurement noise. None of the method choices does, so for planning purposes the ranking is robust to them, and each choice can be justified on its own grounds without changing the shortlist. The largest gain in ranking confidence would come from reducing heat measurement error, not from refining any one method.</w:t>
      </w:r>
    </w:p>
    <w:p>
      <w:pPr>
        <w:pStyle w:val="Heading2"/>
      </w:pPr>
      <w:r>
        <w:t xml:space="preserve">5.5 Limitations</w:t>
      </w:r>
    </w:p>
    <w:p>
      <w:r>
        <w:rPr>
          <w:b/>
        </w:rPr>
        <w:t xml:space="preserve">No ground truth. </w:t>
      </w:r>
      <w:r>
        <w:t xml:space="preserve">There is no record of where cooling was most needed, so the score is tested for robustness and consistency, not accuracy.</w:t>
      </w:r>
    </w:p>
    <w:p>
      <w:r>
        <w:rPr>
          <w:b/>
        </w:rPr>
        <w:t xml:space="preserve">Bands are not calibrated. </w:t>
      </w:r>
      <w:r>
        <w:t xml:space="preserve">They reflect measured error sizes in two pillars, but their coverage was never tested, and the heat error (Landsat against 1 km MODIS) is an upper bound.</w:t>
      </w:r>
    </w:p>
    <w:p>
      <w:r>
        <w:rPr>
          <w:b/>
        </w:rPr>
        <w:t xml:space="preserve">Greenery noise is clipped at zero. </w:t>
      </w:r>
      <w:r>
        <w:t xml:space="preserve">Perturbed greenery is capped to the 0–1 range, so for the 49 subzones with essentially no vegetation the noise can only push greenery up, which pulls their noisy scores down. The effect is small: rerun without the cap, the noise floor is 11.3 instead of 10.9, those subzones' average chance of being in the top 20 is 0.20 instead of 0.19, and no subzone's chance changes by more than 0.07. It is most visible when greenery noise acts alone, so that floor is approximate. Adding the noise on a scale that respects the 0–1 range would remove it.</w:t>
      </w:r>
    </w:p>
    <w:p>
      <w:r>
        <w:rPr>
          <w:b/>
        </w:rPr>
        <w:t xml:space="preserve">Placeholder settings. </w:t>
      </w:r>
      <w:r>
        <w:t xml:space="preserve">The 50/50 population-elderly split in the sensitivity pillar has not been justified; alternatives are tested above.</w:t>
      </w:r>
    </w:p>
    <w:p>
      <w:r>
        <w:rPr>
          <w:b/>
        </w:rPr>
        <w:t xml:space="preserve">Residents only. </w:t>
      </w:r>
      <w:r>
        <w:t xml:space="preserve">Sensitivity counts residents, not workers or visitors; the all-places view covers non-residential areas but without any people term.</w:t>
      </w:r>
    </w:p>
    <w:p>
      <w:pPr>
        <w:pStyle w:val="Heading2"/>
      </w:pPr>
      <w:r>
        <w:t xml:space="preserve">Sources</w:t>
      </w:r>
    </w:p>
    <w:p>
      <w:r>
        <w:t xml:space="preserve">Score: scripts/build_priority_score.py, src/priority_score/. Bands and noise floor: scripts/build_priority_score_confidence_bands.py, validation/score_validation/confidence_bands.py, decision_impact.py. Evaluation: scripts/evaluate_priority_score.py, validation/score_validation/score_evaluation.py, sensitivity_specs.py, rank_impact.py, landcover_impact.py (outputs in data/processed/ and data/processed/diagnostics/priority_*.csv).</w:t>
      </w:r>
    </w:p>
    <w:p>
      <w:r>
        <w:br w:type="page"/>
      </w:r>
    </w:p>
    <w:p>
      <w:pPr>
        <w:pStyle w:val="Heading1"/>
      </w:pPr>
      <w:r>
        <w:t xml:space="preserve">6. Scenario Modelling</w:t>
      </w:r>
    </w:p>
    <w:p>
      <w:pPr>
        <w:pStyle w:val="Subtitle"/>
      </w:pPr>
      <w:r>
        <w:t xml:space="preserve">XGBoost and CNN heat models and the greening what-if</w:t>
      </w:r>
    </w:p>
    <w:p>
      <w:pPr>
        <w:pStyle w:val="Heading2"/>
      </w:pPr>
      <w:r>
        <w:t xml:space="preserve">Summary</w:t>
      </w:r>
    </w:p>
    <w:p>
      <w:r>
        <w:t xml:space="preserve">Scenario modelling answers "what if this place were greener?". A subzone-level XGBoost model predicts surface temperature from land cover, spectral indices and population; a 10 m CNN predicts temperature patch by patch. The greening what-if edits a subzone's or a patch's inputs and reads off the change in predicted temperature. No greening intervention was observed before and after, so the what-if cannot be checked against truth; the models' accuracy and the what-if's consistency can.</w:t>
      </w:r>
    </w:p>
    <w:p>
      <w:r>
        <w:t xml:space="preserve">XGBoost is accurate at subzone level (R² 0.73 on held-out subzones, 0.76 with whole planning areas held out), but only slightly better than a linear regression on the same inputs (0.75). Its what-if is consistent: adding 15 percentage points of vegetation cools 89% of subzones by a median 0.98 °C, close to the cross-subzone association (1.20 °C), and only because the edit moves the spectral indices with the land cover. The CNN follows the spatial pattern of temperature (correlation 0.61) but exaggerates its contrasts by about 47%, so its held-out error (5.08 °C) is worse than predicting the average. The two models agree on the direction of the greening effect for 17 of the top-20 subzones but not on its size. What-if results are indicative directions, not forecasts.</w:t>
      </w:r>
    </w:p>
    <w:p>
      <w:pPr>
        <w:pStyle w:val="Heading2"/>
      </w:pPr>
      <w:r>
        <w:t xml:space="preserve">6.1 Setup</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400"/>
        <w:gridCol w:w="7500"/>
      </w:tblGrid>
      <w:tr>
        <w:trPr>
          <w:tblHeader/>
        </w:trPr>
        <w:tc>
          <w:tcPr>
            <w:tcW w:w="2400" w:type="dxa"/>
            <w:shd w:val="clear" w:color="auto" w:fill="E2E8F0"/>
          </w:tcPr>
          <w:p>
            <w:r>
              <w:t xml:space="preserve">Item</w:t>
            </w:r>
          </w:p>
        </w:tc>
        <w:tc>
          <w:tcPr>
            <w:tcW w:w="7500" w:type="dxa"/>
            <w:shd w:val="clear" w:color="auto" w:fill="E2E8F0"/>
          </w:tcPr>
          <w:p>
            <w:r>
              <w:t xml:space="preserve">Setting</w:t>
            </w:r>
          </w:p>
        </w:tc>
      </w:tr>
      <w:tr>
        <w:trPr>
          <w:cantSplit/>
        </w:trPr>
        <w:tc>
          <w:tcPr>
            <w:tcW w:w="2400" w:type="dxa"/>
          </w:tcPr>
          <w:p>
            <w:r>
              <w:t xml:space="preserve">XGBoost</w:t>
            </w:r>
          </w:p>
        </w:tc>
        <w:tc>
          <w:tcPr>
            <w:tcW w:w="7500" w:type="dxa"/>
          </w:tcPr>
          <w:p>
            <w:r>
              <w:t xml:space="preserve">One row per subzone (332). Ten features: land-cover fractions (vegetation, built-up, bare, water), NDVI and NDBI in two seasons, resident count and elderly share. Target: Landsat 30 m surface temperature. Production model trained on 265 subzones, tested on 67.</w:t>
            </w:r>
          </w:p>
        </w:tc>
      </w:tr>
      <w:tr>
        <w:trPr>
          <w:cantSplit/>
        </w:trPr>
        <w:tc>
          <w:tcPr>
            <w:tcW w:w="2400" w:type="dxa"/>
          </w:tcPr>
          <w:p>
            <w:r>
              <w:t xml:space="preserve">CNN</w:t>
            </w:r>
          </w:p>
        </w:tc>
        <w:tc>
          <w:tcPr>
            <w:tcW w:w="7500" w:type="dxa"/>
          </w:tcPr>
          <w:p>
            <w:r>
              <w:t xml:space="preserve">160 of 1,066 patches (128 × 128 pixels at 10 m) held out for validation (85/15 split by patch). Inputs: Sentinel-2 bands, spectral indices and the production land-cover map. Target: the 10 m bicubic temperature layer.</w:t>
            </w:r>
          </w:p>
        </w:tc>
      </w:tr>
      <w:tr>
        <w:trPr>
          <w:cantSplit/>
        </w:trPr>
        <w:tc>
          <w:tcPr>
            <w:tcW w:w="2400" w:type="dxa"/>
          </w:tcPr>
          <w:p>
            <w:r>
              <w:t xml:space="preserve">Subzone what-if (XGBoost)</w:t>
            </w:r>
          </w:p>
        </w:tc>
        <w:tc>
          <w:tcPr>
            <w:tcW w:w="7500" w:type="dxa"/>
          </w:tcPr>
          <w:p>
            <w:r>
              <w:t xml:space="preserve">Vegetation share raised by a set amount, taken proportionally from built-up and bare land; water unchanged. NDVI and NDBI move with the land cover by regressions fitted across real subzones (R² 0.81 to 0.84).</w:t>
            </w:r>
          </w:p>
        </w:tc>
      </w:tr>
      <w:tr>
        <w:trPr>
          <w:cantSplit/>
        </w:trPr>
        <w:tc>
          <w:tcPr>
            <w:tcW w:w="2400" w:type="dxa"/>
          </w:tcPr>
          <w:p>
            <w:r>
              <w:t xml:space="preserve">Patch what-if (CNN)</w:t>
            </w:r>
          </w:p>
        </w:tc>
        <w:tc>
          <w:tcPr>
            <w:tcW w:w="7500" w:type="dxa"/>
          </w:tcPr>
          <w:p>
            <w:r>
              <w:t xml:space="preserve">A 50 m-radius disc around the subzone centre is set to the average vegetation pixel, and the CNN is rerun on the edited patch.</w:t>
            </w:r>
          </w:p>
        </w:tc>
      </w:tr>
      <w:tr>
        <w:trPr>
          <w:cantSplit/>
        </w:trPr>
        <w:tc>
          <w:tcPr>
            <w:tcW w:w="2400" w:type="dxa"/>
          </w:tcPr>
          <w:p>
            <w:r>
              <w:t xml:space="preserve">Validation</w:t>
            </w:r>
          </w:p>
        </w:tc>
        <w:tc>
          <w:tcPr>
            <w:tcW w:w="7500" w:type="dxa"/>
          </w:tcPr>
          <w:p>
            <w:r>
              <w:t xml:space="preserve">Repeated 5-fold cross-validation (25 fits) and spatial cross-validation holding out whole planning areas; baselines: linear regression and predicting the mean.</w:t>
            </w:r>
          </w:p>
        </w:tc>
      </w:tr>
    </w:tbl>
    <w:p/>
    <w:p>
      <w:pPr>
        <w:pStyle w:val="Heading2"/>
      </w:pPr>
      <w:r>
        <w:t xml:space="preserve">6.2 Evaluation</w:t>
      </w:r>
    </w:p>
    <w:p>
      <w:pPr>
        <w:pStyle w:val="Heading3"/>
      </w:pPr>
      <w:r>
        <w:t xml:space="preserve">6.2.1 XGBoost accuracy</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300"/>
        <w:gridCol w:w="1700"/>
        <w:gridCol w:w="1200"/>
        <w:gridCol w:w="2400"/>
        <w:gridCol w:w="1300"/>
      </w:tblGrid>
      <w:tr>
        <w:trPr>
          <w:tblHeader/>
        </w:trPr>
        <w:tc>
          <w:tcPr>
            <w:tcW w:w="3300" w:type="dxa"/>
            <w:shd w:val="clear" w:color="auto" w:fill="E2E8F0"/>
          </w:tcPr>
          <w:p>
            <w:r>
              <w:t xml:space="preserve">Model</w:t>
            </w:r>
          </w:p>
        </w:tc>
        <w:tc>
          <w:tcPr>
            <w:tcW w:w="1700" w:type="dxa"/>
            <w:shd w:val="clear" w:color="auto" w:fill="E2E8F0"/>
          </w:tcPr>
          <w:p>
            <w:r>
              <w:t xml:space="preserve">R², random CV</w:t>
            </w:r>
          </w:p>
        </w:tc>
        <w:tc>
          <w:tcPr>
            <w:tcW w:w="1200" w:type="dxa"/>
            <w:shd w:val="clear" w:color="auto" w:fill="E2E8F0"/>
          </w:tcPr>
          <w:p>
            <w:r>
              <w:t xml:space="preserve">RMSE (°C)</w:t>
            </w:r>
          </w:p>
        </w:tc>
        <w:tc>
          <w:tcPr>
            <w:tcW w:w="2400" w:type="dxa"/>
            <w:shd w:val="clear" w:color="auto" w:fill="E2E8F0"/>
          </w:tcPr>
          <w:p>
            <w:r>
              <w:t xml:space="preserve">R², planning areas held out</w:t>
            </w:r>
          </w:p>
        </w:tc>
        <w:tc>
          <w:tcPr>
            <w:tcW w:w="1300" w:type="dxa"/>
            <w:shd w:val="clear" w:color="auto" w:fill="E2E8F0"/>
          </w:tcPr>
          <w:p>
            <w:r>
              <w:t xml:space="preserve">RMSE (°C)</w:t>
            </w:r>
          </w:p>
        </w:tc>
      </w:tr>
      <w:tr>
        <w:trPr>
          <w:cantSplit/>
        </w:trPr>
        <w:tc>
          <w:tcPr>
            <w:tcW w:w="3300" w:type="dxa"/>
          </w:tcPr>
          <w:p>
            <w:r>
              <w:t xml:space="preserve">XGBoost (production settings)</w:t>
            </w:r>
          </w:p>
        </w:tc>
        <w:tc>
          <w:tcPr>
            <w:tcW w:w="1700" w:type="dxa"/>
          </w:tcPr>
          <w:p>
            <w:r>
              <w:t xml:space="preserve">0.78 ± 0.05</w:t>
            </w:r>
          </w:p>
        </w:tc>
        <w:tc>
          <w:tcPr>
            <w:tcW w:w="1200" w:type="dxa"/>
          </w:tcPr>
          <w:p>
            <w:r>
              <w:t xml:space="preserve">1.13</w:t>
            </w:r>
          </w:p>
        </w:tc>
        <w:tc>
          <w:tcPr>
            <w:tcW w:w="2400" w:type="dxa"/>
          </w:tcPr>
          <w:p>
            <w:r>
              <w:t xml:space="preserve">0.76 ± 0.08</w:t>
            </w:r>
          </w:p>
        </w:tc>
        <w:tc>
          <w:tcPr>
            <w:tcW w:w="1300" w:type="dxa"/>
          </w:tcPr>
          <w:p>
            <w:r>
              <w:t xml:space="preserve">1.19</w:t>
            </w:r>
          </w:p>
        </w:tc>
      </w:tr>
      <w:tr>
        <w:trPr>
          <w:cantSplit/>
        </w:trPr>
        <w:tc>
          <w:tcPr>
            <w:tcW w:w="3300" w:type="dxa"/>
          </w:tcPr>
          <w:p>
            <w:r>
              <w:t xml:space="preserve">Linear regression, same ten features</w:t>
            </w:r>
          </w:p>
        </w:tc>
        <w:tc>
          <w:tcPr>
            <w:tcW w:w="1700" w:type="dxa"/>
          </w:tcPr>
          <w:p>
            <w:r>
              <w:t xml:space="preserve">0.76 ± 0.05</w:t>
            </w:r>
          </w:p>
        </w:tc>
        <w:tc>
          <w:tcPr>
            <w:tcW w:w="1200" w:type="dxa"/>
          </w:tcPr>
          <w:p>
            <w:r>
              <w:t xml:space="preserve">1.18</w:t>
            </w:r>
          </w:p>
        </w:tc>
        <w:tc>
          <w:tcPr>
            <w:tcW w:w="2400" w:type="dxa"/>
          </w:tcPr>
          <w:p>
            <w:r>
              <w:t xml:space="preserve">0.75 ± 0.08</w:t>
            </w:r>
          </w:p>
        </w:tc>
        <w:tc>
          <w:tcPr>
            <w:tcW w:w="1300" w:type="dxa"/>
          </w:tcPr>
          <w:p>
            <w:r>
              <w:t xml:space="preserve">1.22</w:t>
            </w:r>
          </w:p>
        </w:tc>
      </w:tr>
      <w:tr>
        <w:trPr>
          <w:cantSplit/>
        </w:trPr>
        <w:tc>
          <w:tcPr>
            <w:tcW w:w="3300" w:type="dxa"/>
          </w:tcPr>
          <w:p>
            <w:r>
              <w:t xml:space="preserve">Linear regression, vegetation share only</w:t>
            </w:r>
          </w:p>
        </w:tc>
        <w:tc>
          <w:tcPr>
            <w:tcW w:w="1700" w:type="dxa"/>
          </w:tcPr>
          <w:p>
            <w:r>
              <w:t xml:space="preserve">0.49 ± 0.07</w:t>
            </w:r>
          </w:p>
        </w:tc>
        <w:tc>
          <w:tcPr>
            <w:tcW w:w="1200" w:type="dxa"/>
          </w:tcPr>
          <w:p>
            <w:r>
              <w:t xml:space="preserve">1.73</w:t>
            </w:r>
          </w:p>
        </w:tc>
        <w:tc>
          <w:tcPr>
            <w:tcW w:w="2400" w:type="dxa"/>
          </w:tcPr>
          <w:p>
            <w:r>
              <w:t xml:space="preserve">0.51 ± 0.07</w:t>
            </w:r>
          </w:p>
        </w:tc>
        <w:tc>
          <w:tcPr>
            <w:tcW w:w="1300" w:type="dxa"/>
          </w:tcPr>
          <w:p>
            <w:r>
              <w:t xml:space="preserve">1.72</w:t>
            </w:r>
          </w:p>
        </w:tc>
      </w:tr>
      <w:tr>
        <w:trPr>
          <w:cantSplit/>
        </w:trPr>
        <w:tc>
          <w:tcPr>
            <w:tcW w:w="3300" w:type="dxa"/>
          </w:tcPr>
          <w:p>
            <w:r>
              <w:t xml:space="preserve">Predict the training mean</w:t>
            </w:r>
          </w:p>
        </w:tc>
        <w:tc>
          <w:tcPr>
            <w:tcW w:w="1700" w:type="dxa"/>
          </w:tcPr>
          <w:p>
            <w:r>
              <w:t xml:space="preserve">-0.02 ± 0.05</w:t>
            </w:r>
          </w:p>
        </w:tc>
        <w:tc>
          <w:tcPr>
            <w:tcW w:w="1200" w:type="dxa"/>
          </w:tcPr>
          <w:p>
            <w:r>
              <w:t xml:space="preserve">2.48</w:t>
            </w:r>
          </w:p>
        </w:tc>
        <w:tc>
          <w:tcPr>
            <w:tcW w:w="2400" w:type="dxa"/>
          </w:tcPr>
          <w:p>
            <w:r>
              <w:t xml:space="preserve">-0.01 ± 0.01</w:t>
            </w:r>
          </w:p>
        </w:tc>
        <w:tc>
          <w:tcPr>
            <w:tcW w:w="1300" w:type="dxa"/>
          </w:tcPr>
          <w:p>
            <w:r>
              <w:t xml:space="preserve">2.48</w:t>
            </w:r>
          </w:p>
        </w:tc>
      </w:tr>
    </w:tbl>
    <w:p/>
    <w:p>
      <w:r>
        <w:t xml:space="preserve">The production model scores R² 0.727 (RMSE 1.21 °C) on its own held-out subzones; cross-validation gives a similar 0.78. Holding out whole planning areas barely lowers it, so the accuracy does not come from neighbouring subzones leaking into the test set. XGBoost halves the error of predicting the mean, but a linear regression on the same features does almost as well (0.76): the relationship is largely linear, and the choice of XGBoost is not what makes the model accurate.</w:t>
      </w:r>
    </w:p>
    <w:p>
      <w:pPr>
        <w:pStyle w:val="Heading3"/>
      </w:pPr>
      <w:r>
        <w:t xml:space="preserve">6.2.2 CNN accuracy</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300"/>
        <w:gridCol w:w="1200"/>
        <w:gridCol w:w="1100"/>
        <w:gridCol w:w="1300"/>
        <w:gridCol w:w="1500"/>
        <w:gridCol w:w="1500"/>
      </w:tblGrid>
      <w:tr>
        <w:trPr>
          <w:tblHeader/>
        </w:trPr>
        <w:tc>
          <w:tcPr>
            <w:tcW w:w="3300" w:type="dxa"/>
            <w:shd w:val="clear" w:color="auto" w:fill="E2E8F0"/>
          </w:tcPr>
          <w:p>
            <w:r>
              <w:t xml:space="preserve">Model (validation patches)</w:t>
            </w:r>
          </w:p>
        </w:tc>
        <w:tc>
          <w:tcPr>
            <w:tcW w:w="1200" w:type="dxa"/>
            <w:shd w:val="clear" w:color="auto" w:fill="E2E8F0"/>
          </w:tcPr>
          <w:p>
            <w:r>
              <w:t xml:space="preserve">RMSE (°C)</w:t>
            </w:r>
          </w:p>
        </w:tc>
        <w:tc>
          <w:tcPr>
            <w:tcW w:w="1100" w:type="dxa"/>
            <w:shd w:val="clear" w:color="auto" w:fill="E2E8F0"/>
          </w:tcPr>
          <w:p>
            <w:r>
              <w:t xml:space="preserve">R²</w:t>
            </w:r>
          </w:p>
        </w:tc>
        <w:tc>
          <w:tcPr>
            <w:tcW w:w="1300" w:type="dxa"/>
            <w:shd w:val="clear" w:color="auto" w:fill="E2E8F0"/>
          </w:tcPr>
          <w:p>
            <w:r>
              <w:t xml:space="preserve">Bias (°C)</w:t>
            </w:r>
          </w:p>
        </w:tc>
        <w:tc>
          <w:tcPr>
            <w:tcW w:w="1500" w:type="dxa"/>
            <w:shd w:val="clear" w:color="auto" w:fill="E2E8F0"/>
          </w:tcPr>
          <w:p>
            <w:r>
              <w:t xml:space="preserve">Correlation</w:t>
            </w:r>
          </w:p>
        </w:tc>
        <w:tc>
          <w:tcPr>
            <w:tcW w:w="1500" w:type="dxa"/>
            <w:shd w:val="clear" w:color="auto" w:fill="E2E8F0"/>
          </w:tcPr>
          <w:p>
            <w:r>
              <w:t xml:space="preserve">Spread ratio</w:t>
            </w:r>
          </w:p>
        </w:tc>
      </w:tr>
      <w:tr>
        <w:trPr>
          <w:cantSplit/>
        </w:trPr>
        <w:tc>
          <w:tcPr>
            <w:tcW w:w="3300" w:type="dxa"/>
          </w:tcPr>
          <w:p>
            <w:r>
              <w:t xml:space="preserve">CNN (production)</w:t>
            </w:r>
          </w:p>
        </w:tc>
        <w:tc>
          <w:tcPr>
            <w:tcW w:w="1200" w:type="dxa"/>
          </w:tcPr>
          <w:p>
            <w:r>
              <w:t xml:space="preserve">5.08</w:t>
            </w:r>
          </w:p>
        </w:tc>
        <w:tc>
          <w:tcPr>
            <w:tcW w:w="1100" w:type="dxa"/>
          </w:tcPr>
          <w:p>
            <w:r>
              <w:t xml:space="preserve">-0.40</w:t>
            </w:r>
          </w:p>
        </w:tc>
        <w:tc>
          <w:tcPr>
            <w:tcW w:w="1300" w:type="dxa"/>
          </w:tcPr>
          <w:p>
            <w:r>
              <w:t xml:space="preserve">-0.65</w:t>
            </w:r>
          </w:p>
        </w:tc>
        <w:tc>
          <w:tcPr>
            <w:tcW w:w="1500" w:type="dxa"/>
          </w:tcPr>
          <w:p>
            <w:r>
              <w:t xml:space="preserve">0.61</w:t>
            </w:r>
          </w:p>
        </w:tc>
        <w:tc>
          <w:tcPr>
            <w:tcW w:w="1500" w:type="dxa"/>
          </w:tcPr>
          <w:p>
            <w:r>
              <w:t xml:space="preserve">1.47</w:t>
            </w:r>
          </w:p>
        </w:tc>
      </w:tr>
      <w:tr>
        <w:trPr>
          <w:cantSplit/>
        </w:trPr>
        <w:tc>
          <w:tcPr>
            <w:tcW w:w="3300" w:type="dxa"/>
          </w:tcPr>
          <w:p>
            <w:r>
              <w:t xml:space="preserve">Per-pixel linear regression, same inputs</w:t>
            </w:r>
          </w:p>
        </w:tc>
        <w:tc>
          <w:tcPr>
            <w:tcW w:w="1200" w:type="dxa"/>
          </w:tcPr>
          <w:p>
            <w:r>
              <w:t xml:space="preserve">2.49</w:t>
            </w:r>
          </w:p>
        </w:tc>
        <w:tc>
          <w:tcPr>
            <w:tcW w:w="1100" w:type="dxa"/>
          </w:tcPr>
          <w:p>
            <w:r>
              <w:t xml:space="preserve">0.66</w:t>
            </w:r>
          </w:p>
        </w:tc>
        <w:tc>
          <w:tcPr>
            <w:tcW w:w="1300" w:type="dxa"/>
          </w:tcPr>
          <w:p>
            <w:r>
              <w:t xml:space="preserve">-0.02</w:t>
            </w:r>
          </w:p>
        </w:tc>
        <w:tc>
          <w:tcPr>
            <w:tcW w:w="1500" w:type="dxa"/>
          </w:tcPr>
          <w:p>
            <w:r>
              <w:t xml:space="preserve">0.81</w:t>
            </w:r>
          </w:p>
        </w:tc>
        <w:tc>
          <w:tcPr>
            <w:tcW w:w="1500" w:type="dxa"/>
          </w:tcPr>
          <w:p>
            <w:r>
              <w:t xml:space="preserve">0.84</w:t>
            </w:r>
          </w:p>
        </w:tc>
      </w:tr>
      <w:tr>
        <w:trPr>
          <w:cantSplit/>
        </w:trPr>
        <w:tc>
          <w:tcPr>
            <w:tcW w:w="3300" w:type="dxa"/>
          </w:tcPr>
          <w:p>
            <w:r>
              <w:t xml:space="preserve">Predict the training mean</w:t>
            </w:r>
          </w:p>
        </w:tc>
        <w:tc>
          <w:tcPr>
            <w:tcW w:w="1200" w:type="dxa"/>
          </w:tcPr>
          <w:p>
            <w:r>
              <w:t xml:space="preserve">4.29</w:t>
            </w:r>
          </w:p>
        </w:tc>
        <w:tc>
          <w:tcPr>
            <w:tcW w:w="1100" w:type="dxa"/>
          </w:tcPr>
          <w:p>
            <w:r>
              <w:t xml:space="preserve">0.00</w:t>
            </w:r>
          </w:p>
        </w:tc>
        <w:tc>
          <w:tcPr>
            <w:tcW w:w="1300" w:type="dxa"/>
          </w:tcPr>
          <w:p>
            <w:r>
              <w:t xml:space="preserve">-0.02</w:t>
            </w:r>
          </w:p>
        </w:tc>
        <w:tc>
          <w:tcPr>
            <w:tcW w:w="1500" w:type="dxa"/>
          </w:tcPr>
          <w:p>
            <w:r>
              <w:t xml:space="preserve">—</w:t>
            </w:r>
          </w:p>
        </w:tc>
        <w:tc>
          <w:tcPr>
            <w:tcW w:w="1500" w:type="dxa"/>
          </w:tcPr>
          <w:p>
            <w:r>
              <w:t xml:space="preserve">0</w:t>
            </w:r>
          </w:p>
        </w:tc>
      </w:tr>
    </w:tbl>
    <w:p/>
    <w:p>
      <w:r>
        <w:t xml:space="preserve">On 1,036,779 validation pixels the CNN's error (5.08 °C) is larger than the spread of the temperatures themselves (4.29 °C), so it does worse than predicting the average everywhere. Its overall bias is small (-0.65 °C) and it does follow the pattern (correlation 0.61), but its predictions vary 1.47 times as much as the real temperatures: hot areas come out too hot and cool areas too cool. A per-pixel linear regression on the same inputs is far more accurate (2.49 °C). The CNN's temperature values should not be read as estimates, and its what-if effects are likely to be too large.</w:t>
      </w:r>
    </w:p>
    <w:p>
      <w:pPr>
        <w:pStyle w:val="Heading3"/>
      </w:pPr>
      <w:r>
        <w:t xml:space="preserve">6.2.3 Consistency of the greening what-if</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800"/>
        <w:gridCol w:w="1700"/>
        <w:gridCol w:w="1800"/>
        <w:gridCol w:w="2400"/>
        <w:gridCol w:w="2200"/>
      </w:tblGrid>
      <w:tr>
        <w:trPr>
          <w:tblHeader/>
        </w:trPr>
        <w:tc>
          <w:tcPr>
            <w:tcW w:w="1800" w:type="dxa"/>
            <w:shd w:val="clear" w:color="auto" w:fill="E2E8F0"/>
          </w:tcPr>
          <w:p>
            <w:r>
              <w:t xml:space="preserve">Vegetation added</w:t>
            </w:r>
          </w:p>
        </w:tc>
        <w:tc>
          <w:tcPr>
            <w:tcW w:w="1700" w:type="dxa"/>
            <w:shd w:val="clear" w:color="auto" w:fill="E2E8F0"/>
          </w:tcPr>
          <w:p>
            <w:r>
              <w:t xml:space="preserve">Subzones that cool</w:t>
            </w:r>
          </w:p>
        </w:tc>
        <w:tc>
          <w:tcPr>
            <w:tcW w:w="1800" w:type="dxa"/>
            <w:shd w:val="clear" w:color="auto" w:fill="E2E8F0"/>
          </w:tcPr>
          <w:p>
            <w:r>
              <w:t xml:space="preserve">Median change (°C)</w:t>
            </w:r>
          </w:p>
        </w:tc>
        <w:tc>
          <w:tcPr>
            <w:tcW w:w="2400" w:type="dxa"/>
            <w:shd w:val="clear" w:color="auto" w:fill="E2E8F0"/>
          </w:tcPr>
          <w:p>
            <w:r>
              <w:t xml:space="preserve">10th–90th percentile (°C)</w:t>
            </w:r>
          </w:p>
        </w:tc>
        <w:tc>
          <w:tcPr>
            <w:tcW w:w="2200" w:type="dxa"/>
            <w:shd w:val="clear" w:color="auto" w:fill="E2E8F0"/>
          </w:tcPr>
          <w:p>
            <w:r>
              <w:t xml:space="preserve">Edited subzones outside the real range</w:t>
            </w:r>
          </w:p>
        </w:tc>
      </w:tr>
      <w:tr>
        <w:trPr>
          <w:cantSplit/>
        </w:trPr>
        <w:tc>
          <w:tcPr>
            <w:tcW w:w="1800" w:type="dxa"/>
          </w:tcPr>
          <w:p>
            <w:r>
              <w:t xml:space="preserve">+5 points</w:t>
            </w:r>
          </w:p>
        </w:tc>
        <w:tc>
          <w:tcPr>
            <w:tcW w:w="1700" w:type="dxa"/>
          </w:tcPr>
          <w:p>
            <w:r>
              <w:t xml:space="preserve">70%</w:t>
            </w:r>
          </w:p>
        </w:tc>
        <w:tc>
          <w:tcPr>
            <w:tcW w:w="1800" w:type="dxa"/>
          </w:tcPr>
          <w:p>
            <w:r>
              <w:t xml:space="preserve">-0.28</w:t>
            </w:r>
          </w:p>
        </w:tc>
        <w:tc>
          <w:tcPr>
            <w:tcW w:w="2400" w:type="dxa"/>
          </w:tcPr>
          <w:p>
            <w:r>
              <w:t xml:space="preserve">-1.09 to +0.56</w:t>
            </w:r>
          </w:p>
        </w:tc>
        <w:tc>
          <w:tcPr>
            <w:tcW w:w="2200" w:type="dxa"/>
          </w:tcPr>
          <w:p>
            <w:r>
              <w:t xml:space="preserve">5.4%</w:t>
            </w:r>
          </w:p>
        </w:tc>
      </w:tr>
      <w:tr>
        <w:trPr>
          <w:cantSplit/>
        </w:trPr>
        <w:tc>
          <w:tcPr>
            <w:tcW w:w="1800" w:type="dxa"/>
          </w:tcPr>
          <w:p>
            <w:r>
              <w:t xml:space="preserve">+10 points</w:t>
            </w:r>
          </w:p>
        </w:tc>
        <w:tc>
          <w:tcPr>
            <w:tcW w:w="1700" w:type="dxa"/>
          </w:tcPr>
          <w:p>
            <w:r>
              <w:t xml:space="preserve">83%</w:t>
            </w:r>
          </w:p>
        </w:tc>
        <w:tc>
          <w:tcPr>
            <w:tcW w:w="1800" w:type="dxa"/>
          </w:tcPr>
          <w:p>
            <w:r>
              <w:t xml:space="preserve">-0.74</w:t>
            </w:r>
          </w:p>
        </w:tc>
        <w:tc>
          <w:tcPr>
            <w:tcW w:w="2400" w:type="dxa"/>
          </w:tcPr>
          <w:p>
            <w:r>
              <w:t xml:space="preserve">-1.79 to +0.32</w:t>
            </w:r>
          </w:p>
        </w:tc>
        <w:tc>
          <w:tcPr>
            <w:tcW w:w="2200" w:type="dxa"/>
          </w:tcPr>
          <w:p>
            <w:r>
              <w:t xml:space="preserve">4.8%</w:t>
            </w:r>
          </w:p>
        </w:tc>
      </w:tr>
      <w:tr>
        <w:trPr>
          <w:cantSplit/>
        </w:trPr>
        <w:tc>
          <w:tcPr>
            <w:tcW w:w="1800" w:type="dxa"/>
          </w:tcPr>
          <w:p>
            <w:r>
              <w:t xml:space="preserve">+15 points</w:t>
            </w:r>
          </w:p>
        </w:tc>
        <w:tc>
          <w:tcPr>
            <w:tcW w:w="1700" w:type="dxa"/>
          </w:tcPr>
          <w:p>
            <w:r>
              <w:t xml:space="preserve">89%</w:t>
            </w:r>
          </w:p>
        </w:tc>
        <w:tc>
          <w:tcPr>
            <w:tcW w:w="1800" w:type="dxa"/>
          </w:tcPr>
          <w:p>
            <w:r>
              <w:t xml:space="preserve">-0.98</w:t>
            </w:r>
          </w:p>
        </w:tc>
        <w:tc>
          <w:tcPr>
            <w:tcW w:w="2400" w:type="dxa"/>
          </w:tcPr>
          <w:p>
            <w:r>
              <w:t xml:space="preserve">-2.35 to +0.02</w:t>
            </w:r>
          </w:p>
        </w:tc>
        <w:tc>
          <w:tcPr>
            <w:tcW w:w="2200" w:type="dxa"/>
          </w:tcPr>
          <w:p>
            <w:r>
              <w:t xml:space="preserve">4.8%</w:t>
            </w:r>
          </w:p>
        </w:tc>
      </w:tr>
      <w:tr>
        <w:trPr>
          <w:cantSplit/>
        </w:trPr>
        <w:tc>
          <w:tcPr>
            <w:tcW w:w="1800" w:type="dxa"/>
          </w:tcPr>
          <w:p>
            <w:r>
              <w:t xml:space="preserve">+20 points</w:t>
            </w:r>
          </w:p>
        </w:tc>
        <w:tc>
          <w:tcPr>
            <w:tcW w:w="1700" w:type="dxa"/>
          </w:tcPr>
          <w:p>
            <w:r>
              <w:t xml:space="preserve">95%</w:t>
            </w:r>
          </w:p>
        </w:tc>
        <w:tc>
          <w:tcPr>
            <w:tcW w:w="1800" w:type="dxa"/>
          </w:tcPr>
          <w:p>
            <w:r>
              <w:t xml:space="preserve">-1.52</w:t>
            </w:r>
          </w:p>
        </w:tc>
        <w:tc>
          <w:tcPr>
            <w:tcW w:w="2400" w:type="dxa"/>
          </w:tcPr>
          <w:p>
            <w:r>
              <w:t xml:space="preserve">-2.83 to -0.33</w:t>
            </w:r>
          </w:p>
        </w:tc>
        <w:tc>
          <w:tcPr>
            <w:tcW w:w="2200" w:type="dxa"/>
          </w:tcPr>
          <w:p>
            <w:r>
              <w:t xml:space="preserve">4.5%</w:t>
            </w:r>
          </w:p>
        </w:tc>
      </w:tr>
      <w:tr>
        <w:trPr>
          <w:cantSplit/>
        </w:trPr>
        <w:tc>
          <w:tcPr>
            <w:tcW w:w="1800" w:type="dxa"/>
          </w:tcPr>
          <w:p>
            <w:r>
              <w:t xml:space="preserve">+30 points</w:t>
            </w:r>
          </w:p>
        </w:tc>
        <w:tc>
          <w:tcPr>
            <w:tcW w:w="1700" w:type="dxa"/>
          </w:tcPr>
          <w:p>
            <w:r>
              <w:t xml:space="preserve">98%</w:t>
            </w:r>
          </w:p>
        </w:tc>
        <w:tc>
          <w:tcPr>
            <w:tcW w:w="1800" w:type="dxa"/>
          </w:tcPr>
          <w:p>
            <w:r>
              <w:t xml:space="preserve">-2.05</w:t>
            </w:r>
          </w:p>
        </w:tc>
        <w:tc>
          <w:tcPr>
            <w:tcW w:w="2400" w:type="dxa"/>
          </w:tcPr>
          <w:p>
            <w:r>
              <w:t xml:space="preserve">-3.52 to -0.92</w:t>
            </w:r>
          </w:p>
        </w:tc>
        <w:tc>
          <w:tcPr>
            <w:tcW w:w="2200" w:type="dxa"/>
          </w:tcPr>
          <w:p>
            <w:r>
              <w:t xml:space="preserve">4.2%</w:t>
            </w:r>
          </w:p>
        </w:tc>
      </w:tr>
    </w:tbl>
    <w:p/>
    <w:p>
      <w:r>
        <w:t xml:space="preserve">Cooling grows steadily with the amount of greening and becomes nearly universal. At +15 points the median cooling (0.98 °C) is close to what the cross-subzone association implies (1.20 °C, from -8.0 °C per unit of vegetation share). An edited subzone counts as outside the real range when its features are further from the average subzone than 95% of real subzones are; edited subzones fall outside about as often as real ones do (4.8% against 5.1%), so the edits stay within the data the model learned from.</w:t>
      </w:r>
    </w:p>
    <w:p>
      <w:pPr>
        <w:pStyle w:val="Heading3"/>
      </w:pPr>
      <w:r>
        <w:t xml:space="preserve">6.2.4 Agreement between the two models</w:t>
      </w:r>
    </w:p>
    <w:p>
      <w:r>
        <w:t xml:space="preserve">For each of the residents' top-20 subzones, XGBoost predicted the effect of +15 points of vegetation and the CNN the effect of greening a 50 m disc at the subzone centre. They agree on the direction for 17 of 20 (not for China Square, Boon Teck, Chinatown) and for all 3 diagnostic demo subzones. They do not agree on size: the rank correlation of the two estimates is -0.38, and the CNN's effect is the larger in 12 of 20. XGBoost predicts essentially no cooling (above −0.1 °C) for China Square and Chinatown.</w:t>
      </w:r>
    </w:p>
    <w:p>
      <w:pPr>
        <w:pStyle w:val="Heading2"/>
      </w:pPr>
      <w:r>
        <w:t xml:space="preserve">6.3 Ablations and controlled comparisons</w:t>
      </w:r>
    </w:p>
    <w:p>
      <w:pPr>
        <w:pStyle w:val="Heading3"/>
      </w:pPr>
      <w:r>
        <w:t xml:space="preserve">6.3.1 How the what-if edit moves the inputs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4300"/>
        <w:gridCol w:w="1800"/>
        <w:gridCol w:w="1800"/>
        <w:gridCol w:w="2000"/>
      </w:tblGrid>
      <w:tr>
        <w:trPr>
          <w:tblHeader/>
        </w:trPr>
        <w:tc>
          <w:tcPr>
            <w:tcW w:w="4300" w:type="dxa"/>
            <w:shd w:val="clear" w:color="auto" w:fill="E2E8F0"/>
          </w:tcPr>
          <w:p>
            <w:r>
              <w:t xml:space="preserve">Edit mechanism (+15 points vegetation)</w:t>
            </w:r>
          </w:p>
        </w:tc>
        <w:tc>
          <w:tcPr>
            <w:tcW w:w="1800" w:type="dxa"/>
            <w:shd w:val="clear" w:color="auto" w:fill="E2E8F0"/>
          </w:tcPr>
          <w:p>
            <w:r>
              <w:t xml:space="preserve">Subzones that cool</w:t>
            </w:r>
          </w:p>
        </w:tc>
        <w:tc>
          <w:tcPr>
            <w:tcW w:w="1800" w:type="dxa"/>
            <w:shd w:val="clear" w:color="auto" w:fill="E2E8F0"/>
          </w:tcPr>
          <w:p>
            <w:r>
              <w:t xml:space="preserve">Median change (°C)</w:t>
            </w:r>
          </w:p>
        </w:tc>
        <w:tc>
          <w:tcPr>
            <w:tcW w:w="2000" w:type="dxa"/>
            <w:shd w:val="clear" w:color="auto" w:fill="E2E8F0"/>
          </w:tcPr>
          <w:p>
            <w:r>
              <w:t xml:space="preserve">Edited subzones outside the real range</w:t>
            </w:r>
          </w:p>
        </w:tc>
      </w:tr>
      <w:tr>
        <w:trPr>
          <w:cantSplit/>
        </w:trPr>
        <w:tc>
          <w:tcPr>
            <w:tcW w:w="4300" w:type="dxa"/>
          </w:tcPr>
          <w:p>
            <w:r>
              <w:t xml:space="preserve">Land cover only (indices unchanged)</w:t>
            </w:r>
          </w:p>
        </w:tc>
        <w:tc>
          <w:tcPr>
            <w:tcW w:w="1800" w:type="dxa"/>
          </w:tcPr>
          <w:p>
            <w:r>
              <w:t xml:space="preserve">55%</w:t>
            </w:r>
          </w:p>
        </w:tc>
        <w:tc>
          <w:tcPr>
            <w:tcW w:w="1800" w:type="dxa"/>
          </w:tcPr>
          <w:p>
            <w:r>
              <w:t xml:space="preserve">-0.10</w:t>
            </w:r>
          </w:p>
        </w:tc>
        <w:tc>
          <w:tcPr>
            <w:tcW w:w="2000" w:type="dxa"/>
          </w:tcPr>
          <w:p>
            <w:r>
              <w:t xml:space="preserve">9.0%</w:t>
            </w:r>
          </w:p>
        </w:tc>
      </w:tr>
      <w:tr>
        <w:trPr>
          <w:cantSplit/>
        </w:trPr>
        <w:tc>
          <w:tcPr>
            <w:tcW w:w="4300" w:type="dxa"/>
          </w:tcPr>
          <w:p>
            <w:r>
              <w:t xml:space="preserve">Land cover + NDVI</w:t>
            </w:r>
          </w:p>
        </w:tc>
        <w:tc>
          <w:tcPr>
            <w:tcW w:w="1800" w:type="dxa"/>
          </w:tcPr>
          <w:p>
            <w:r>
              <w:t xml:space="preserve">57%</w:t>
            </w:r>
          </w:p>
        </w:tc>
        <w:tc>
          <w:tcPr>
            <w:tcW w:w="1800" w:type="dxa"/>
          </w:tcPr>
          <w:p>
            <w:r>
              <w:t xml:space="preserve">-0.10</w:t>
            </w:r>
          </w:p>
        </w:tc>
        <w:tc>
          <w:tcPr>
            <w:tcW w:w="2000" w:type="dxa"/>
          </w:tcPr>
          <w:p>
            <w:r>
              <w:t xml:space="preserve">10.8%</w:t>
            </w:r>
          </w:p>
        </w:tc>
      </w:tr>
      <w:tr>
        <w:trPr>
          <w:cantSplit/>
        </w:trPr>
        <w:tc>
          <w:tcPr>
            <w:tcW w:w="4300" w:type="dxa"/>
          </w:tcPr>
          <w:p>
            <w:r>
              <w:t xml:space="preserve">Land cover + NDVI + NDBI (production)</w:t>
            </w:r>
          </w:p>
        </w:tc>
        <w:tc>
          <w:tcPr>
            <w:tcW w:w="1800" w:type="dxa"/>
          </w:tcPr>
          <w:p>
            <w:r>
              <w:t xml:space="preserve">89%</w:t>
            </w:r>
          </w:p>
        </w:tc>
        <w:tc>
          <w:tcPr>
            <w:tcW w:w="1800" w:type="dxa"/>
          </w:tcPr>
          <w:p>
            <w:r>
              <w:t xml:space="preserve">-0.98</w:t>
            </w:r>
          </w:p>
        </w:tc>
        <w:tc>
          <w:tcPr>
            <w:tcW w:w="2000" w:type="dxa"/>
          </w:tcPr>
          <w:p>
            <w:r>
              <w:t xml:space="preserve">4.8%</w:t>
            </w:r>
          </w:p>
        </w:tc>
      </w:tr>
    </w:tbl>
    <w:p/>
    <w:p>
      <w:r>
        <w:t xml:space="preserve">Changing land cover alone cools only 55% of subzones, by a median 0.10 °C, so barely more than half; moving NDVI as well barely helps. Only when NDBI moves too does the effect become consistent (89% cool). The model relies on the spectral indices more than on the land-cover fractions (next table), so an edit that changes the fractions but leaves the indices of the original place describes an unrealistic subzone, which the plausibility check also shows.</w:t>
      </w:r>
    </w:p>
    <w:p>
      <w:pPr>
        <w:pStyle w:val="Heading3"/>
      </w:pPr>
      <w:r>
        <w:t xml:space="preserve">6.3.2 XGBoost feature groups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4500"/>
        <w:gridCol w:w="1300"/>
        <w:gridCol w:w="2300"/>
        <w:gridCol w:w="1800"/>
      </w:tblGrid>
      <w:tr>
        <w:trPr>
          <w:tblHeader/>
        </w:trPr>
        <w:tc>
          <w:tcPr>
            <w:tcW w:w="4500" w:type="dxa"/>
            <w:shd w:val="clear" w:color="auto" w:fill="E2E8F0"/>
          </w:tcPr>
          <w:p>
            <w:r>
              <w:t xml:space="preserve">Features</w:t>
            </w:r>
          </w:p>
        </w:tc>
        <w:tc>
          <w:tcPr>
            <w:tcW w:w="1300" w:type="dxa"/>
            <w:shd w:val="clear" w:color="auto" w:fill="E2E8F0"/>
          </w:tcPr>
          <w:p>
            <w:r>
              <w:t xml:space="preserve">Number</w:t>
            </w:r>
          </w:p>
        </w:tc>
        <w:tc>
          <w:tcPr>
            <w:tcW w:w="2300" w:type="dxa"/>
            <w:shd w:val="clear" w:color="auto" w:fill="E2E8F0"/>
          </w:tcPr>
          <w:p>
            <w:r>
              <w:t xml:space="preserve">R², random CV</w:t>
            </w:r>
          </w:p>
        </w:tc>
        <w:tc>
          <w:tcPr>
            <w:tcW w:w="1800" w:type="dxa"/>
            <w:shd w:val="clear" w:color="auto" w:fill="E2E8F0"/>
          </w:tcPr>
          <w:p>
            <w:r>
              <w:t xml:space="preserve">RMSE (°C)</w:t>
            </w:r>
          </w:p>
        </w:tc>
      </w:tr>
      <w:tr>
        <w:trPr>
          <w:cantSplit/>
        </w:trPr>
        <w:tc>
          <w:tcPr>
            <w:tcW w:w="4500" w:type="dxa"/>
          </w:tcPr>
          <w:p>
            <w:r>
              <w:t xml:space="preserve">All ten (production)</w:t>
            </w:r>
          </w:p>
        </w:tc>
        <w:tc>
          <w:tcPr>
            <w:tcW w:w="1300" w:type="dxa"/>
          </w:tcPr>
          <w:p>
            <w:r>
              <w:t xml:space="preserve">10</w:t>
            </w:r>
          </w:p>
        </w:tc>
        <w:tc>
          <w:tcPr>
            <w:tcW w:w="2300" w:type="dxa"/>
          </w:tcPr>
          <w:p>
            <w:r>
              <w:t xml:space="preserve">0.78 ± 0.05</w:t>
            </w:r>
          </w:p>
        </w:tc>
        <w:tc>
          <w:tcPr>
            <w:tcW w:w="1800" w:type="dxa"/>
          </w:tcPr>
          <w:p>
            <w:r>
              <w:t xml:space="preserve">1.13</w:t>
            </w:r>
          </w:p>
        </w:tc>
      </w:tr>
      <w:tr>
        <w:trPr>
          <w:cantSplit/>
        </w:trPr>
        <w:tc>
          <w:tcPr>
            <w:tcW w:w="4500" w:type="dxa"/>
          </w:tcPr>
          <w:p>
            <w:r>
              <w:t xml:space="preserve">Without land-cover fractions</w:t>
            </w:r>
          </w:p>
        </w:tc>
        <w:tc>
          <w:tcPr>
            <w:tcW w:w="1300" w:type="dxa"/>
          </w:tcPr>
          <w:p>
            <w:r>
              <w:t xml:space="preserve">6</w:t>
            </w:r>
          </w:p>
        </w:tc>
        <w:tc>
          <w:tcPr>
            <w:tcW w:w="2300" w:type="dxa"/>
          </w:tcPr>
          <w:p>
            <w:r>
              <w:t xml:space="preserve">0.74 ± 0.06</w:t>
            </w:r>
          </w:p>
        </w:tc>
        <w:tc>
          <w:tcPr>
            <w:tcW w:w="1800" w:type="dxa"/>
          </w:tcPr>
          <w:p>
            <w:r>
              <w:t xml:space="preserve">1.23</w:t>
            </w:r>
          </w:p>
        </w:tc>
      </w:tr>
      <w:tr>
        <w:trPr>
          <w:cantSplit/>
        </w:trPr>
        <w:tc>
          <w:tcPr>
            <w:tcW w:w="4500" w:type="dxa"/>
          </w:tcPr>
          <w:p>
            <w:r>
              <w:t xml:space="preserve">Without spectral indices</w:t>
            </w:r>
          </w:p>
        </w:tc>
        <w:tc>
          <w:tcPr>
            <w:tcW w:w="1300" w:type="dxa"/>
          </w:tcPr>
          <w:p>
            <w:r>
              <w:t xml:space="preserve">6</w:t>
            </w:r>
          </w:p>
        </w:tc>
        <w:tc>
          <w:tcPr>
            <w:tcW w:w="2300" w:type="dxa"/>
          </w:tcPr>
          <w:p>
            <w:r>
              <w:t xml:space="preserve">0.68 ± 0.09</w:t>
            </w:r>
          </w:p>
        </w:tc>
        <w:tc>
          <w:tcPr>
            <w:tcW w:w="1800" w:type="dxa"/>
          </w:tcPr>
          <w:p>
            <w:r>
              <w:t xml:space="preserve">1.36</w:t>
            </w:r>
          </w:p>
        </w:tc>
      </w:tr>
      <w:tr>
        <w:trPr>
          <w:cantSplit/>
        </w:trPr>
        <w:tc>
          <w:tcPr>
            <w:tcW w:w="4500" w:type="dxa"/>
          </w:tcPr>
          <w:p>
            <w:r>
              <w:t xml:space="preserve">Without population</w:t>
            </w:r>
          </w:p>
        </w:tc>
        <w:tc>
          <w:tcPr>
            <w:tcW w:w="1300" w:type="dxa"/>
          </w:tcPr>
          <w:p>
            <w:r>
              <w:t xml:space="preserve">8</w:t>
            </w:r>
          </w:p>
        </w:tc>
        <w:tc>
          <w:tcPr>
            <w:tcW w:w="2300" w:type="dxa"/>
          </w:tcPr>
          <w:p>
            <w:r>
              <w:t xml:space="preserve">0.77 ± 0.06</w:t>
            </w:r>
          </w:p>
        </w:tc>
        <w:tc>
          <w:tcPr>
            <w:tcW w:w="1800" w:type="dxa"/>
          </w:tcPr>
          <w:p>
            <w:r>
              <w:t xml:space="preserve">1.14</w:t>
            </w:r>
          </w:p>
        </w:tc>
      </w:tr>
      <w:tr>
        <w:trPr>
          <w:cantSplit/>
        </w:trPr>
        <w:tc>
          <w:tcPr>
            <w:tcW w:w="4500" w:type="dxa"/>
          </w:tcPr>
          <w:p>
            <w:r>
              <w:t xml:space="preserve">Land-cover fractions only</w:t>
            </w:r>
          </w:p>
        </w:tc>
        <w:tc>
          <w:tcPr>
            <w:tcW w:w="1300" w:type="dxa"/>
          </w:tcPr>
          <w:p>
            <w:r>
              <w:t xml:space="preserve">4</w:t>
            </w:r>
          </w:p>
        </w:tc>
        <w:tc>
          <w:tcPr>
            <w:tcW w:w="2300" w:type="dxa"/>
          </w:tcPr>
          <w:p>
            <w:r>
              <w:t xml:space="preserve">0.58 ± 0.10</w:t>
            </w:r>
          </w:p>
        </w:tc>
        <w:tc>
          <w:tcPr>
            <w:tcW w:w="1800" w:type="dxa"/>
          </w:tcPr>
          <w:p>
            <w:r>
              <w:t xml:space="preserve">1.55</w:t>
            </w:r>
          </w:p>
        </w:tc>
      </w:tr>
      <w:tr>
        <w:trPr>
          <w:cantSplit/>
        </w:trPr>
        <w:tc>
          <w:tcPr>
            <w:tcW w:w="4500" w:type="dxa"/>
          </w:tcPr>
          <w:p>
            <w:r>
              <w:t xml:space="preserve">Spectral indices only</w:t>
            </w:r>
          </w:p>
        </w:tc>
        <w:tc>
          <w:tcPr>
            <w:tcW w:w="1300" w:type="dxa"/>
          </w:tcPr>
          <w:p>
            <w:r>
              <w:t xml:space="preserve">4</w:t>
            </w:r>
          </w:p>
        </w:tc>
        <w:tc>
          <w:tcPr>
            <w:tcW w:w="2300" w:type="dxa"/>
          </w:tcPr>
          <w:p>
            <w:r>
              <w:t xml:space="preserve">0.73 ± 0.06</w:t>
            </w:r>
          </w:p>
        </w:tc>
        <w:tc>
          <w:tcPr>
            <w:tcW w:w="1800" w:type="dxa"/>
          </w:tcPr>
          <w:p>
            <w:r>
              <w:t xml:space="preserve">1.25</w:t>
            </w:r>
          </w:p>
        </w:tc>
      </w:tr>
    </w:tbl>
    <w:p/>
    <w:p>
      <w:r>
        <w:t xml:space="preserve">The spectral indices carry most of the information (alone, R² 0.73); the land-cover fractions alone reach 0.58. Removing population changes almost nothing (0.77 against 0.78).</w:t>
      </w:r>
    </w:p>
    <w:p>
      <w:pPr>
        <w:pStyle w:val="Heading3"/>
      </w:pPr>
      <w:r>
        <w:t xml:space="preserve">6.3.3 XGBoost against linear regression</w:t>
      </w:r>
    </w:p>
    <w:p>
      <w:r>
        <w:t xml:space="preserve">With the same features, linear regression comes within 0.02 in R² of XGBoost under both validation schemes (first table). The gradient-boosted model adds little accuracy; its value is flexibility, not a large gain in fit.</w:t>
      </w:r>
    </w:p>
    <w:p>
      <w:pPr>
        <w:pStyle w:val="Heading2"/>
      </w:pPr>
      <w:r>
        <w:t xml:space="preserve">6.4 Relation to the priority ranking</w:t>
      </w:r>
    </w:p>
    <w:p>
      <w:r>
        <w:t xml:space="preserve">Scenario modelling does not enter the priority score, so it has no decision-impact test. It answers a follow-up question for the subzones the score selects: how much greening might help there.</w:t>
      </w:r>
    </w:p>
    <w:p>
      <w:pPr>
        <w:pStyle w:val="Heading2"/>
      </w:pPr>
      <w:r>
        <w:t xml:space="preserve">6.5 Limitations</w:t>
      </w:r>
    </w:p>
    <w:p>
      <w:r>
        <w:rPr>
          <w:b/>
        </w:rPr>
        <w:t xml:space="preserve">Association, not causation. </w:t>
      </w:r>
      <w:r>
        <w:t xml:space="preserve">XGBoost learned how temperature differs between subzones with different greenery; it was never shown a place that was greened. What-if results are what that association implies, not forecasts.</w:t>
      </w:r>
    </w:p>
    <w:p>
      <w:r>
        <w:rPr>
          <w:b/>
        </w:rPr>
        <w:t xml:space="preserve">Agreement with the association is partly built in. </w:t>
      </w:r>
      <w:r>
        <w:t xml:space="preserve">The edit moves the indices along relationships fitted across subzones, so agreeing with the cross-subzone slope shows consistency, not external validity.</w:t>
      </w:r>
    </w:p>
    <w:p>
      <w:r>
        <w:rPr>
          <w:b/>
        </w:rPr>
        <w:t xml:space="preserve">CNN target. </w:t>
      </w:r>
      <w:r>
        <w:t xml:space="preserve">The CNN learns the 10 m bicubic temperature layer, which is interpolated from Landsat's 30 m product (itself about 100 m measurement), so it cannot learn real 10 m detail.</w:t>
      </w:r>
    </w:p>
    <w:p>
      <w:r>
        <w:rPr>
          <w:b/>
        </w:rPr>
        <w:t xml:space="preserve">CNN validation split. </w:t>
      </w:r>
      <w:r>
        <w:t xml:space="preserve">Patches are split at random, so validation patches have training neighbours. This would flatter the CNN, which still does poorly.</w:t>
      </w:r>
    </w:p>
    <w:p>
      <w:r>
        <w:rPr>
          <w:b/>
        </w:rPr>
        <w:t xml:space="preserve">Reproducibility. </w:t>
      </w:r>
      <w:r>
        <w:t xml:space="preserve">Retraining XGBoost on another machine, or with a different number of processor threads, moves individual predictions by a few tenths of a degree; the reported model is the production one.</w:t>
      </w:r>
    </w:p>
    <w:p>
      <w:r>
        <w:rPr>
          <w:b/>
        </w:rPr>
        <w:t xml:space="preserve">Surface temperature. </w:t>
      </w:r>
      <w:r>
        <w:t xml:space="preserve">Both models predict daytime land surface temperature, not air temperature or thermal comfort.</w:t>
      </w:r>
    </w:p>
    <w:p>
      <w:pPr>
        <w:pStyle w:val="Heading2"/>
      </w:pPr>
      <w:r>
        <w:t xml:space="preserve">Sources</w:t>
      </w:r>
    </w:p>
    <w:p>
      <w:r>
        <w:t xml:space="preserve">Models: scripts/train_heat_model_xgboost.py, src/heat_model/tabular.py, notebooks/colab_training/train_heat_cnn.ipynb, src/heat_model/cnn_*.py, src/heat_model/counterfactual.py. Evaluation: scripts/evaluate_scenario_models.py, validation/heat_model_validation/scenario_evaluation.py (outputs in data/processed/diagnostics/scenario_*.csv).</w:t>
      </w:r>
    </w:p>
    <w:sectPr w:rsidR="007606BC">
      <w:pgSz w:w="11906" w:h="16838"/>
      <w:pgMar w:top="1000" w:right="1000" w:bottom="10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06BC"/>
    <w:rsid w:val="005B3AFC"/>
    <w:rsid w:val="007606BC"/>
    <w:rsid w:val="00D9691E"/>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14C7"/>
  <w15:docId w15:val="{66D76960-5DC6-4545-898F-CD73969C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SG" w:eastAsia="zh-C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color w:val="17365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7365D"/>
      <w:sz w:val="38"/>
    </w:rPr>
  </w:style>
  <w:style w:type="paragraph" w:styleId="Subtitle">
    <w:name w:val="Subtitle"/>
    <w:uiPriority w:val="11"/>
    <w:qFormat/>
    <w:rPr>
      <w:color w:val="64748B"/>
    </w:rPr>
  </w:style>
  <w:style w:type="paragraph" w:styleId="Heading2">
    <w:name w:val="heading 2"/>
    <w:basedOn w:val="Normal"/>
    <w:next w:val="Normal"/>
    <w:uiPriority w:val="9"/>
    <w:unhideWhenUsed/>
    <w:qFormat/>
    <w:pPr>
      <w:keepNext/>
      <w:spacing w:before="200"/>
      <w:outlineLvl w:val="1"/>
    </w:pPr>
    <w:rPr>
      <w:b/>
      <w:color w:val="17365D"/>
      <w:sz w:val="24"/>
    </w:rPr>
  </w:style>
  <w:style w:type="paragraph" w:styleId="Heading3">
    <w:name w:val="heading 3"/>
    <w:basedOn w:val="Normal"/>
    <w:next w:val="Normal"/>
    <w:uiPriority w:val="9"/>
    <w:unhideWhenUsed/>
    <w:qFormat/>
    <w:pPr>
      <w:keepNext/>
      <w:spacing w:before="160"/>
      <w:outlineLvl w:val="2"/>
    </w:pPr>
    <w:rPr>
      <w:b/>
      <w:color w:val="33415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Strategy and Ablation Testing</dc:title>
  <cp:lastModifiedBy>Kin Xing</cp:lastModifiedBy>
  <cp:revision>2</cp:revision>
  <dcterms:created xsi:type="dcterms:W3CDTF">2026-09-29T17:28:00Z</dcterms:created>
  <dcterms:modified xsi:type="dcterms:W3CDTF">2026-09-29T17:30:00Z</dcterms:modified>
</cp:coreProperties>
</file>