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Heat Typology Evaluation and Ablation Tests</w:t>
      </w:r>
    </w:p>
    <w:p>
      <w:pPr>
        <w:pStyle w:val="Subtitle"/>
      </w:pPr>
      <w:r>
        <w:t xml:space="preserve">K-means and Gaussian-mixture clustering of subzones by seasonal heat and surface character | 5 October 2026</w:t>
      </w:r>
    </w:p>
    <w:p>
      <w:pPr>
        <w:pStyle w:val="Heading1"/>
      </w:pPr>
      <w:r>
        <w:t xml:space="preserve">Summary</w:t>
      </w:r>
    </w:p>
    <w:p>
      <w:r>
        <w:t xml:space="preserve">The heat typology groups the 332 subzones into 4 types by their surface temperature and greenness in two seasons. It describes subzones; it does not enter the priority score. With no ground truth for a typology, it is judged on whether its structure is real, repeatable and consistent with data it was not built from.</w:t>
      </w:r>
    </w:p>
    <w:p>
      <w:r>
        <w:t xml:space="preserve">The typology is clearly better than chance: its silhouette (0.34) is more than twice that of the same features shuffled (0.14). It is repeatable across random seeds (agreement 0.96) but only moderately stable when the subzones are resampled (0.69). It agrees strongly with land cover, which was not a clustering input (clusters explain 78% of the variation in vegetation share), and with independent MODIS temperature. The hottest type holds 12 of the residents' top-20 priority subzones; the green type holds none.</w:t>
      </w:r>
    </w:p>
    <w:p>
      <w:pPr>
        <w:pStyle w:val="Heading1"/>
      </w:pPr>
      <w:r>
        <w:t xml:space="preserve">1. Setup</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300"/>
        <w:gridCol w:w="7600"/>
      </w:tblGrid>
      <w:tr>
        <w:trPr>
          <w:tblHeader/>
        </w:trPr>
        <w:tc>
          <w:tcPr>
            <w:tcW w:w="2300" w:type="dxa"/>
            <w:shd w:val="clear" w:color="auto" w:fill="E2E8F0"/>
          </w:tcPr>
          <w:p>
            <w:r>
              <w:t xml:space="preserve">Item</w:t>
            </w:r>
          </w:p>
        </w:tc>
        <w:tc>
          <w:tcPr>
            <w:tcW w:w="7600" w:type="dxa"/>
            <w:shd w:val="clear" w:color="auto" w:fill="E2E8F0"/>
          </w:tcPr>
          <w:p>
            <w:r>
              <w:t xml:space="preserve">Setting</w:t>
            </w:r>
          </w:p>
        </w:tc>
      </w:tr>
      <w:tr>
        <w:trPr>
          <w:cantSplit/>
        </w:trPr>
        <w:tc>
          <w:tcPr>
            <w:tcW w:w="2300" w:type="dxa"/>
          </w:tcPr>
          <w:p>
            <w:r>
              <w:t xml:space="preserve">Subzones</w:t>
            </w:r>
          </w:p>
        </w:tc>
        <w:tc>
          <w:tcPr>
            <w:tcW w:w="7600" w:type="dxa"/>
          </w:tcPr>
          <w:p>
            <w:r>
              <w:t xml:space="preserve">332 URA subzones, every one with complete features.</w:t>
            </w:r>
          </w:p>
        </w:tc>
      </w:tr>
      <w:tr>
        <w:trPr>
          <w:cantSplit/>
        </w:trPr>
        <w:tc>
          <w:tcPr>
            <w:tcW w:w="2300" w:type="dxa"/>
          </w:tcPr>
          <w:p>
            <w:r>
              <w:t xml:space="preserve">Features</w:t>
            </w:r>
          </w:p>
        </w:tc>
        <w:tc>
          <w:tcPr>
            <w:tcW w:w="7600" w:type="dxa"/>
          </w:tcPr>
          <w:p>
            <w:r>
              <w:t xml:space="preserve">Six subzone means, standardised: Landsat surface temperature, NDVI (greenness) and NDBI (built-up index), each for the inter-monsoon months (April, May, October, November) and for December to February, 2021 to June 2026.</w:t>
            </w:r>
          </w:p>
        </w:tc>
      </w:tr>
      <w:tr>
        <w:trPr>
          <w:cantSplit/>
        </w:trPr>
        <w:tc>
          <w:tcPr>
            <w:tcW w:w="2300" w:type="dxa"/>
          </w:tcPr>
          <w:p>
            <w:r>
              <w:t xml:space="preserve">Methods</w:t>
            </w:r>
          </w:p>
        </w:tc>
        <w:tc>
          <w:tcPr>
            <w:tcW w:w="7600" w:type="dxa"/>
          </w:tcPr>
          <w:p>
            <w:r>
              <w:t xml:space="preserve">K-means and a Gaussian mixture model (GMM), each fitted for 2 to 8 clusters. Each method's number of clusters is the one with the highest silhouette at 3 or more; the method with the higher silhouette becomes the production typology.</w:t>
            </w:r>
          </w:p>
        </w:tc>
      </w:tr>
      <w:tr>
        <w:trPr>
          <w:cantSplit/>
        </w:trPr>
        <w:tc>
          <w:tcPr>
            <w:tcW w:w="2300" w:type="dxa"/>
          </w:tcPr>
          <w:p>
            <w:r>
              <w:t xml:space="preserve">Production typology</w:t>
            </w:r>
          </w:p>
        </w:tc>
        <w:tc>
          <w:tcPr>
            <w:tcW w:w="7600" w:type="dxa"/>
          </w:tcPr>
          <w:p>
            <w:r>
              <w:t xml:space="preserve">K-means with 4 clusters (GMM chose 3).</w:t>
            </w:r>
          </w:p>
        </w:tc>
      </w:tr>
      <w:tr>
        <w:trPr>
          <w:cantSplit/>
        </w:trPr>
        <w:tc>
          <w:tcPr>
            <w:tcW w:w="2300" w:type="dxa"/>
          </w:tcPr>
          <w:p>
            <w:r>
              <w:t xml:space="preserve">Independent checks</w:t>
            </w:r>
          </w:p>
        </w:tc>
        <w:tc>
          <w:tcPr>
            <w:tcW w:w="7600" w:type="dxa"/>
          </w:tcPr>
          <w:p>
            <w:r>
              <w:t xml:space="preserve">Land-cover fractions from the production land-cover map and MODIS surface temperature; neither is a clustering input.</w:t>
            </w:r>
          </w:p>
        </w:tc>
      </w:tr>
      <w:tr>
        <w:trPr>
          <w:cantSplit/>
        </w:trPr>
        <w:tc>
          <w:tcPr>
            <w:tcW w:w="2300" w:type="dxa"/>
          </w:tcPr>
          <w:p>
            <w:r>
              <w:t xml:space="preserve">Statistics</w:t>
            </w:r>
          </w:p>
        </w:tc>
        <w:tc>
          <w:tcPr>
            <w:tcW w:w="7600" w:type="dxa"/>
          </w:tcPr>
          <w:p>
            <w:r>
              <w:t xml:space="preserve">Adjusted Rand index (ARI) for agreement between partitions (1 = identical, 0 = chance); Kruskal-Wallis tests and eta-squared (share of variance explained by the clusters) for the independent checks.</w:t>
            </w:r>
          </w:p>
        </w:tc>
      </w:tr>
    </w:tbl>
    <w:p/>
    <w:p>
      <w:pPr>
        <w:pStyle w:val="Heading1"/>
      </w:pPr>
      <w:r>
        <w:t xml:space="preserve">2. Evaluation</w:t>
      </w:r>
    </w:p>
    <w:p>
      <w:pPr>
        <w:pStyle w:val="Heading2"/>
      </w:pPr>
      <w:r>
        <w:t xml:space="preserve">2.1 Internal quality against a null baseline</w:t>
      </w:r>
    </w:p>
    <w:p>
      <w:r>
        <w:t xml:space="preserve">The null baseline shuffles each feature independently across subzones, keeping every feature's distribution but removing any joint structure, and clusters it with the same method and k (4 clusters, 200 repeats).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100"/>
        <w:gridCol w:w="2000"/>
        <w:gridCol w:w="1500"/>
        <w:gridCol w:w="1600"/>
        <w:gridCol w:w="1700"/>
      </w:tblGrid>
      <w:tr>
        <w:trPr>
          <w:tblHeader/>
        </w:trPr>
        <w:tc>
          <w:tcPr>
            <w:tcW w:w="3100" w:type="dxa"/>
            <w:shd w:val="clear" w:color="auto" w:fill="E2E8F0"/>
          </w:tcPr>
          <w:p>
            <w:r>
              <w:t xml:space="preserve">Typology</w:t>
            </w:r>
          </w:p>
        </w:tc>
        <w:tc>
          <w:tcPr>
            <w:tcW w:w="2000" w:type="dxa"/>
            <w:shd w:val="clear" w:color="auto" w:fill="E2E8F0"/>
          </w:tcPr>
          <w:p>
            <w:r>
              <w:t xml:space="preserve">Silhouette</w:t>
            </w:r>
          </w:p>
        </w:tc>
        <w:tc>
          <w:tcPr>
            <w:tcW w:w="1500" w:type="dxa"/>
            <w:shd w:val="clear" w:color="auto" w:fill="E2E8F0"/>
          </w:tcPr>
          <w:p>
            <w:r>
              <w:t xml:space="preserve">Davies-Bouldin</w:t>
            </w:r>
          </w:p>
        </w:tc>
        <w:tc>
          <w:tcPr>
            <w:tcW w:w="1600" w:type="dxa"/>
            <w:shd w:val="clear" w:color="auto" w:fill="E2E8F0"/>
          </w:tcPr>
          <w:p>
            <w:r>
              <w:t xml:space="preserve">Calinski-Harabasz</w:t>
            </w:r>
          </w:p>
        </w:tc>
        <w:tc>
          <w:tcPr>
            <w:tcW w:w="1700" w:type="dxa"/>
            <w:shd w:val="clear" w:color="auto" w:fill="E2E8F0"/>
          </w:tcPr>
          <w:p>
            <w:r>
              <w:t xml:space="preserve">Cluster sizes</w:t>
            </w:r>
          </w:p>
        </w:tc>
      </w:tr>
      <w:tr>
        <w:trPr>
          <w:cantSplit/>
        </w:trPr>
        <w:tc>
          <w:tcPr>
            <w:tcW w:w="3100" w:type="dxa"/>
          </w:tcPr>
          <w:p>
            <w:r>
              <w:t xml:space="preserve">K-means, 4 clusters (production)</w:t>
            </w:r>
          </w:p>
        </w:tc>
        <w:tc>
          <w:tcPr>
            <w:tcW w:w="2000" w:type="dxa"/>
          </w:tcPr>
          <w:p>
            <w:r>
              <w:t xml:space="preserve">0.342</w:t>
            </w:r>
          </w:p>
        </w:tc>
        <w:tc>
          <w:tcPr>
            <w:tcW w:w="1500" w:type="dxa"/>
          </w:tcPr>
          <w:p>
            <w:r>
              <w:t xml:space="preserve">0.93</w:t>
            </w:r>
          </w:p>
        </w:tc>
        <w:tc>
          <w:tcPr>
            <w:tcW w:w="1600" w:type="dxa"/>
          </w:tcPr>
          <w:p>
            <w:r>
              <w:t xml:space="preserve">272</w:t>
            </w:r>
          </w:p>
        </w:tc>
        <w:tc>
          <w:tcPr>
            <w:tcW w:w="1700" w:type="dxa"/>
          </w:tcPr>
          <w:p>
            <w:r>
              <w:t xml:space="preserve">31 to 142</w:t>
            </w:r>
          </w:p>
        </w:tc>
      </w:tr>
      <w:tr>
        <w:trPr>
          <w:cantSplit/>
        </w:trPr>
        <w:tc>
          <w:tcPr>
            <w:tcW w:w="3100" w:type="dxa"/>
          </w:tcPr>
          <w:p>
            <w:r>
              <w:t xml:space="preserve">GMM, 3 clusters</w:t>
            </w:r>
          </w:p>
        </w:tc>
        <w:tc>
          <w:tcPr>
            <w:tcW w:w="2000" w:type="dxa"/>
          </w:tcPr>
          <w:p>
            <w:r>
              <w:t xml:space="preserve">0.297</w:t>
            </w:r>
          </w:p>
        </w:tc>
        <w:tc>
          <w:tcPr>
            <w:tcW w:w="1500" w:type="dxa"/>
          </w:tcPr>
          <w:p>
            <w:r>
              <w:t xml:space="preserve">1.21</w:t>
            </w:r>
          </w:p>
        </w:tc>
        <w:tc>
          <w:tcPr>
            <w:tcW w:w="1600" w:type="dxa"/>
          </w:tcPr>
          <w:p>
            <w:r>
              <w:t xml:space="preserve">225</w:t>
            </w:r>
          </w:p>
        </w:tc>
        <w:tc>
          <w:tcPr>
            <w:tcW w:w="1700" w:type="dxa"/>
          </w:tcPr>
          <w:p>
            <w:r>
              <w:t xml:space="preserve">74 to 173</w:t>
            </w:r>
          </w:p>
        </w:tc>
      </w:tr>
      <w:tr>
        <w:trPr>
          <w:cantSplit/>
        </w:trPr>
        <w:tc>
          <w:tcPr>
            <w:tcW w:w="3100" w:type="dxa"/>
          </w:tcPr>
          <w:p>
            <w:r>
              <w:t xml:space="preserve">Shuffled features (null)</w:t>
            </w:r>
          </w:p>
        </w:tc>
        <w:tc>
          <w:tcPr>
            <w:tcW w:w="2000" w:type="dxa"/>
          </w:tcPr>
          <w:p>
            <w:r>
              <w:t xml:space="preserve">0.142 (95th percentile 0.154)</w:t>
            </w:r>
          </w:p>
        </w:tc>
        <w:tc>
          <w:tcPr>
            <w:tcW w:w="1500" w:type="dxa"/>
          </w:tcPr>
          <w:p>
            <w:r>
              <w:t xml:space="preserve"/>
            </w:r>
          </w:p>
        </w:tc>
        <w:tc>
          <w:tcPr>
            <w:tcW w:w="1600" w:type="dxa"/>
          </w:tcPr>
          <w:p>
            <w:r>
              <w:t xml:space="preserve"/>
            </w:r>
          </w:p>
        </w:tc>
        <w:tc>
          <w:tcPr>
            <w:tcW w:w="1700" w:type="dxa"/>
          </w:tcPr>
          <w:p>
            <w:r>
              <w:t xml:space="preserve"/>
            </w:r>
          </w:p>
        </w:tc>
      </w:tr>
    </w:tbl>
    <w:p/>
    <w:p>
      <w:r>
        <w:t xml:space="preserve">Higher silhouette and Calinski-Harabasz, and lower Davies-Bouldin, mean tighter and better-separated clusters. A silhouette of 0.34 indicates real but overlapping groups, not sharply separated ones.</w:t>
      </w:r>
    </w:p>
    <w:p>
      <w:pPr>
        <w:pStyle w:val="Heading2"/>
      </w:pPr>
      <w:r>
        <w:t xml:space="preserve">2.2 Stability</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4600"/>
        <w:gridCol w:w="1100"/>
        <w:gridCol w:w="2000"/>
        <w:gridCol w:w="2200"/>
      </w:tblGrid>
      <w:tr>
        <w:trPr>
          <w:tblHeader/>
        </w:trPr>
        <w:tc>
          <w:tcPr>
            <w:tcW w:w="4600" w:type="dxa"/>
            <w:shd w:val="clear" w:color="auto" w:fill="E2E8F0"/>
          </w:tcPr>
          <w:p>
            <w:r>
              <w:t xml:space="preserve">Test</w:t>
            </w:r>
          </w:p>
        </w:tc>
        <w:tc>
          <w:tcPr>
            <w:tcW w:w="1100" w:type="dxa"/>
            <w:shd w:val="clear" w:color="auto" w:fill="E2E8F0"/>
          </w:tcPr>
          <w:p>
            <w:r>
              <w:t xml:space="preserve">Repeats</w:t>
            </w:r>
          </w:p>
        </w:tc>
        <w:tc>
          <w:tcPr>
            <w:tcW w:w="2000" w:type="dxa"/>
            <w:shd w:val="clear" w:color="auto" w:fill="E2E8F0"/>
          </w:tcPr>
          <w:p>
            <w:r>
              <w:t xml:space="preserve">Mean agreement (ARI)</w:t>
            </w:r>
          </w:p>
        </w:tc>
        <w:tc>
          <w:tcPr>
            <w:tcW w:w="2200" w:type="dxa"/>
            <w:shd w:val="clear" w:color="auto" w:fill="E2E8F0"/>
          </w:tcPr>
          <w:p>
            <w:r>
              <w:t xml:space="preserve">5th–95th percentile</w:t>
            </w:r>
          </w:p>
        </w:tc>
      </w:tr>
      <w:tr>
        <w:trPr>
          <w:cantSplit/>
        </w:trPr>
        <w:tc>
          <w:tcPr>
            <w:tcW w:w="4600" w:type="dxa"/>
          </w:tcPr>
          <w:p>
            <w:r>
              <w:t xml:space="preserve">K-means refitted with other random seeds</w:t>
            </w:r>
          </w:p>
        </w:tc>
        <w:tc>
          <w:tcPr>
            <w:tcW w:w="1100" w:type="dxa"/>
          </w:tcPr>
          <w:p>
            <w:r>
              <w:t xml:space="preserve">50</w:t>
            </w:r>
          </w:p>
        </w:tc>
        <w:tc>
          <w:tcPr>
            <w:tcW w:w="2000" w:type="dxa"/>
          </w:tcPr>
          <w:p>
            <w:r>
              <w:t xml:space="preserve">0.96</w:t>
            </w:r>
          </w:p>
        </w:tc>
        <w:tc>
          <w:tcPr>
            <w:tcW w:w="2200" w:type="dxa"/>
          </w:tcPr>
          <w:p>
            <w:r>
              <w:t xml:space="preserve">0.87–1.00</w:t>
            </w:r>
          </w:p>
        </w:tc>
      </w:tr>
      <w:tr>
        <w:trPr>
          <w:cantSplit/>
        </w:trPr>
        <w:tc>
          <w:tcPr>
            <w:tcW w:w="4600" w:type="dxa"/>
          </w:tcPr>
          <w:p>
            <w:r>
              <w:t xml:space="preserve">K-means refitted on bootstrap resamples of subzones</w:t>
            </w:r>
          </w:p>
        </w:tc>
        <w:tc>
          <w:tcPr>
            <w:tcW w:w="1100" w:type="dxa"/>
          </w:tcPr>
          <w:p>
            <w:r>
              <w:t xml:space="preserve">200</w:t>
            </w:r>
          </w:p>
        </w:tc>
        <w:tc>
          <w:tcPr>
            <w:tcW w:w="2000" w:type="dxa"/>
          </w:tcPr>
          <w:p>
            <w:r>
              <w:t xml:space="preserve">0.69</w:t>
            </w:r>
          </w:p>
        </w:tc>
        <w:tc>
          <w:tcPr>
            <w:tcW w:w="2200" w:type="dxa"/>
          </w:tcPr>
          <w:p>
            <w:r>
              <w:t xml:space="preserve">0.34–0.96</w:t>
            </w:r>
          </w:p>
        </w:tc>
      </w:tr>
      <w:tr>
        <w:trPr>
          <w:cantSplit/>
        </w:trPr>
        <w:tc>
          <w:tcPr>
            <w:tcW w:w="4600" w:type="dxa"/>
          </w:tcPr>
          <w:p>
            <w:r>
              <w:t xml:space="preserve">GMM refitted with other random seeds</w:t>
            </w:r>
          </w:p>
        </w:tc>
        <w:tc>
          <w:tcPr>
            <w:tcW w:w="1100" w:type="dxa"/>
          </w:tcPr>
          <w:p>
            <w:r>
              <w:t xml:space="preserve">50</w:t>
            </w:r>
          </w:p>
        </w:tc>
        <w:tc>
          <w:tcPr>
            <w:tcW w:w="2000" w:type="dxa"/>
          </w:tcPr>
          <w:p>
            <w:r>
              <w:t xml:space="preserve">0.74</w:t>
            </w:r>
          </w:p>
        </w:tc>
        <w:tc>
          <w:tcPr>
            <w:tcW w:w="2200" w:type="dxa"/>
          </w:tcPr>
          <w:p>
            <w:r>
              <w:t xml:space="preserve">0.39–1.00</w:t>
            </w:r>
          </w:p>
        </w:tc>
      </w:tr>
    </w:tbl>
    <w:p/>
    <w:p>
      <w:r>
        <w:t xml:space="preserve">K-means returns nearly the same partition whatever the seed. Resampling the subzones changes it more: the main types persist, but subzones near the boundaries between types move, so individual assignments near a boundary should not be over-read. GMM is less repeatable than K-means.</w:t>
      </w:r>
    </w:p>
    <w:p>
      <w:pPr>
        <w:pStyle w:val="Heading2"/>
      </w:pPr>
      <w:r>
        <w:t xml:space="preserve">2.3 Agreement with independent data</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500"/>
        <w:gridCol w:w="1500"/>
        <w:gridCol w:w="1500"/>
        <w:gridCol w:w="1500"/>
        <w:gridCol w:w="1500"/>
        <w:gridCol w:w="1400"/>
      </w:tblGrid>
      <w:tr>
        <w:trPr>
          <w:tblHeader/>
        </w:trPr>
        <w:tc>
          <w:tcPr>
            <w:tcW w:w="2500" w:type="dxa"/>
            <w:shd w:val="clear" w:color="auto" w:fill="E2E8F0"/>
          </w:tcPr>
          <w:p>
            <w:r>
              <w:t xml:space="preserve">Variable (not a clustering input)</w:t>
            </w:r>
          </w:p>
        </w:tc>
        <w:tc>
          <w:tcPr>
            <w:tcW w:w="1500" w:type="dxa"/>
            <w:shd w:val="clear" w:color="auto" w:fill="E2E8F0"/>
          </w:tcPr>
          <w:p>
            <w:r>
              <w:t xml:space="preserve">Hot, densely built</w:t>
            </w:r>
          </w:p>
        </w:tc>
        <w:tc>
          <w:tcPr>
            <w:tcW w:w="1500" w:type="dxa"/>
            <w:shd w:val="clear" w:color="auto" w:fill="E2E8F0"/>
          </w:tcPr>
          <w:p>
            <w:r>
              <w:t xml:space="preserve">Large seasonal swing</w:t>
            </w:r>
          </w:p>
        </w:tc>
        <w:tc>
          <w:tcPr>
            <w:tcW w:w="1500" w:type="dxa"/>
            <w:shd w:val="clear" w:color="auto" w:fill="E2E8F0"/>
          </w:tcPr>
          <w:p>
            <w:r>
              <w:t xml:space="preserve">Moderate, mixed urban</w:t>
            </w:r>
          </w:p>
        </w:tc>
        <w:tc>
          <w:tcPr>
            <w:tcW w:w="1500" w:type="dxa"/>
            <w:shd w:val="clear" w:color="auto" w:fill="E2E8F0"/>
          </w:tcPr>
          <w:p>
            <w:r>
              <w:t xml:space="preserve">Cool and green</w:t>
            </w:r>
          </w:p>
        </w:tc>
        <w:tc>
          <w:tcPr>
            <w:tcW w:w="1400" w:type="dxa"/>
            <w:shd w:val="clear" w:color="auto" w:fill="E2E8F0"/>
          </w:tcPr>
          <w:p>
            <w:r>
              <w:t xml:space="preserve">Variance explained</w:t>
            </w:r>
          </w:p>
        </w:tc>
      </w:tr>
      <w:tr>
        <w:trPr>
          <w:cantSplit/>
        </w:trPr>
        <w:tc>
          <w:tcPr>
            <w:tcW w:w="2500" w:type="dxa"/>
          </w:tcPr>
          <w:p>
            <w:r>
              <w:t xml:space="preserve">Vegetation share</w:t>
            </w:r>
          </w:p>
        </w:tc>
        <w:tc>
          <w:tcPr>
            <w:tcW w:w="1500" w:type="dxa"/>
          </w:tcPr>
          <w:p>
            <w:r>
              <w:t xml:space="preserve">4%</w:t>
            </w:r>
          </w:p>
        </w:tc>
        <w:tc>
          <w:tcPr>
            <w:tcW w:w="1500" w:type="dxa"/>
          </w:tcPr>
          <w:p>
            <w:r>
              <w:t xml:space="preserve">2%</w:t>
            </w:r>
          </w:p>
        </w:tc>
        <w:tc>
          <w:tcPr>
            <w:tcW w:w="1500" w:type="dxa"/>
          </w:tcPr>
          <w:p>
            <w:r>
              <w:t xml:space="preserve">11%</w:t>
            </w:r>
          </w:p>
        </w:tc>
        <w:tc>
          <w:tcPr>
            <w:tcW w:w="1500" w:type="dxa"/>
          </w:tcPr>
          <w:p>
            <w:r>
              <w:t xml:space="preserve">55%</w:t>
            </w:r>
          </w:p>
        </w:tc>
        <w:tc>
          <w:tcPr>
            <w:tcW w:w="1400" w:type="dxa"/>
          </w:tcPr>
          <w:p>
            <w:r>
              <w:t xml:space="preserve">78%</w:t>
            </w:r>
          </w:p>
        </w:tc>
      </w:tr>
      <w:tr>
        <w:trPr>
          <w:cantSplit/>
        </w:trPr>
        <w:tc>
          <w:tcPr>
            <w:tcW w:w="2500" w:type="dxa"/>
          </w:tcPr>
          <w:p>
            <w:r>
              <w:t xml:space="preserve">Built-up share</w:t>
            </w:r>
          </w:p>
        </w:tc>
        <w:tc>
          <w:tcPr>
            <w:tcW w:w="1500" w:type="dxa"/>
          </w:tcPr>
          <w:p>
            <w:r>
              <w:t xml:space="preserve">92%</w:t>
            </w:r>
          </w:p>
        </w:tc>
        <w:tc>
          <w:tcPr>
            <w:tcW w:w="1500" w:type="dxa"/>
          </w:tcPr>
          <w:p>
            <w:r>
              <w:t xml:space="preserve">84%</w:t>
            </w:r>
          </w:p>
        </w:tc>
        <w:tc>
          <w:tcPr>
            <w:tcW w:w="1500" w:type="dxa"/>
          </w:tcPr>
          <w:p>
            <w:r>
              <w:t xml:space="preserve">86%</w:t>
            </w:r>
          </w:p>
        </w:tc>
        <w:tc>
          <w:tcPr>
            <w:tcW w:w="1500" w:type="dxa"/>
          </w:tcPr>
          <w:p>
            <w:r>
              <w:t xml:space="preserve">34%</w:t>
            </w:r>
          </w:p>
        </w:tc>
        <w:tc>
          <w:tcPr>
            <w:tcW w:w="1400" w:type="dxa"/>
          </w:tcPr>
          <w:p>
            <w:r>
              <w:t xml:space="preserve">64%</w:t>
            </w:r>
          </w:p>
        </w:tc>
      </w:tr>
      <w:tr>
        <w:trPr>
          <w:cantSplit/>
        </w:trPr>
        <w:tc>
          <w:tcPr>
            <w:tcW w:w="2500" w:type="dxa"/>
          </w:tcPr>
          <w:p>
            <w:r>
              <w:t xml:space="preserve">Water share</w:t>
            </w:r>
          </w:p>
        </w:tc>
        <w:tc>
          <w:tcPr>
            <w:tcW w:w="1500" w:type="dxa"/>
          </w:tcPr>
          <w:p>
            <w:r>
              <w:t xml:space="preserve">1%</w:t>
            </w:r>
          </w:p>
        </w:tc>
        <w:tc>
          <w:tcPr>
            <w:tcW w:w="1500" w:type="dxa"/>
          </w:tcPr>
          <w:p>
            <w:r>
              <w:t xml:space="preserve">12%</w:t>
            </w:r>
          </w:p>
        </w:tc>
        <w:tc>
          <w:tcPr>
            <w:tcW w:w="1500" w:type="dxa"/>
          </w:tcPr>
          <w:p>
            <w:r>
              <w:t xml:space="preserve">2%</w:t>
            </w:r>
          </w:p>
        </w:tc>
        <w:tc>
          <w:tcPr>
            <w:tcW w:w="1500" w:type="dxa"/>
          </w:tcPr>
          <w:p>
            <w:r>
              <w:t xml:space="preserve">9%</w:t>
            </w:r>
          </w:p>
        </w:tc>
        <w:tc>
          <w:tcPr>
            <w:tcW w:w="1400" w:type="dxa"/>
          </w:tcPr>
          <w:p>
            <w:r>
              <w:t xml:space="preserve">12%</w:t>
            </w:r>
          </w:p>
        </w:tc>
      </w:tr>
      <w:tr>
        <w:trPr>
          <w:cantSplit/>
        </w:trPr>
        <w:tc>
          <w:tcPr>
            <w:tcW w:w="2500" w:type="dxa"/>
          </w:tcPr>
          <w:p>
            <w:r>
              <w:t xml:space="preserve">MODIS temperature (°C)</w:t>
            </w:r>
          </w:p>
        </w:tc>
        <w:tc>
          <w:tcPr>
            <w:tcW w:w="1500" w:type="dxa"/>
          </w:tcPr>
          <w:p>
            <w:r>
              <w:t xml:space="preserve">34.9</w:t>
            </w:r>
          </w:p>
        </w:tc>
        <w:tc>
          <w:tcPr>
            <w:tcW w:w="1500" w:type="dxa"/>
          </w:tcPr>
          <w:p>
            <w:r>
              <w:t xml:space="preserve">32.8</w:t>
            </w:r>
          </w:p>
        </w:tc>
        <w:tc>
          <w:tcPr>
            <w:tcW w:w="1500" w:type="dxa"/>
          </w:tcPr>
          <w:p>
            <w:r>
              <w:t xml:space="preserve">33.6</w:t>
            </w:r>
          </w:p>
        </w:tc>
        <w:tc>
          <w:tcPr>
            <w:tcW w:w="1500" w:type="dxa"/>
          </w:tcPr>
          <w:p>
            <w:r>
              <w:t xml:space="preserve">32.3</w:t>
            </w:r>
          </w:p>
        </w:tc>
        <w:tc>
          <w:tcPr>
            <w:tcW w:w="1400" w:type="dxa"/>
          </w:tcPr>
          <w:p>
            <w:r>
              <w:t xml:space="preserve">27%</w:t>
            </w:r>
          </w:p>
        </w:tc>
      </w:tr>
    </w:tbl>
    <w:p/>
    <w:p>
      <w:r>
        <w:t xml:space="preserve">Every variable differs significantly between types (Kruskal-Wallis p below 0.001). The hottest type is also the most built-up and the hottest by MODIS, an independent sensor. It is not the least vegetated: the large seasonal swing type has slightly less vegetation (2.0% against 3.5%), so the coherence check passes on built-up share and on independent temperature, and only narrowly fails on vegetation.</w:t>
      </w:r>
    </w:p>
    <w:p>
      <w:pPr>
        <w:pStyle w:val="Heading2"/>
      </w:pPr>
      <w:r>
        <w:t xml:space="preserve">2.4 The types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400"/>
        <w:gridCol w:w="1100"/>
        <w:gridCol w:w="1800"/>
        <w:gridCol w:w="1700"/>
        <w:gridCol w:w="1200"/>
        <w:gridCol w:w="1700"/>
      </w:tblGrid>
      <w:tr>
        <w:trPr>
          <w:tblHeader/>
        </w:trPr>
        <w:tc>
          <w:tcPr>
            <w:tcW w:w="2400" w:type="dxa"/>
            <w:shd w:val="clear" w:color="auto" w:fill="E2E8F0"/>
          </w:tcPr>
          <w:p>
            <w:r>
              <w:t xml:space="preserve">Type</w:t>
            </w:r>
          </w:p>
        </w:tc>
        <w:tc>
          <w:tcPr>
            <w:tcW w:w="1100" w:type="dxa"/>
            <w:shd w:val="clear" w:color="auto" w:fill="E2E8F0"/>
          </w:tcPr>
          <w:p>
            <w:r>
              <w:t xml:space="preserve">Subzones</w:t>
            </w:r>
          </w:p>
        </w:tc>
        <w:tc>
          <w:tcPr>
            <w:tcW w:w="1800" w:type="dxa"/>
            <w:shd w:val="clear" w:color="auto" w:fill="E2E8F0"/>
          </w:tcPr>
          <w:p>
            <w:r>
              <w:t xml:space="preserve">Temperature, inter-monsoon (°C)</w:t>
            </w:r>
          </w:p>
        </w:tc>
        <w:tc>
          <w:tcPr>
            <w:tcW w:w="1700" w:type="dxa"/>
            <w:shd w:val="clear" w:color="auto" w:fill="E2E8F0"/>
          </w:tcPr>
          <w:p>
            <w:r>
              <w:t xml:space="preserve">Temperature, Dec–Feb (°C)</w:t>
            </w:r>
          </w:p>
        </w:tc>
        <w:tc>
          <w:tcPr>
            <w:tcW w:w="1200" w:type="dxa"/>
            <w:shd w:val="clear" w:color="auto" w:fill="E2E8F0"/>
          </w:tcPr>
          <w:p>
            <w:r>
              <w:t xml:space="preserve">NDVI</w:t>
            </w:r>
          </w:p>
        </w:tc>
        <w:tc>
          <w:tcPr>
            <w:tcW w:w="1700" w:type="dxa"/>
            <w:shd w:val="clear" w:color="auto" w:fill="E2E8F0"/>
          </w:tcPr>
          <w:p>
            <w:r>
              <w:t xml:space="preserve">Built-up share</w:t>
            </w:r>
          </w:p>
        </w:tc>
      </w:tr>
      <w:tr>
        <w:trPr>
          <w:cantSplit/>
        </w:trPr>
        <w:tc>
          <w:tcPr>
            <w:tcW w:w="2400" w:type="dxa"/>
          </w:tcPr>
          <w:p>
            <w:r>
              <w:t xml:space="preserve">Hot, densely built</w:t>
            </w:r>
          </w:p>
        </w:tc>
        <w:tc>
          <w:tcPr>
            <w:tcW w:w="1100" w:type="dxa"/>
          </w:tcPr>
          <w:p>
            <w:r>
              <w:t xml:space="preserve">92</w:t>
            </w:r>
          </w:p>
        </w:tc>
        <w:tc>
          <w:tcPr>
            <w:tcW w:w="1800" w:type="dxa"/>
          </w:tcPr>
          <w:p>
            <w:r>
              <w:t xml:space="preserve">42.3</w:t>
            </w:r>
          </w:p>
        </w:tc>
        <w:tc>
          <w:tcPr>
            <w:tcW w:w="1700" w:type="dxa"/>
          </w:tcPr>
          <w:p>
            <w:r>
              <w:t xml:space="preserve">39.6</w:t>
            </w:r>
          </w:p>
        </w:tc>
        <w:tc>
          <w:tcPr>
            <w:tcW w:w="1200" w:type="dxa"/>
          </w:tcPr>
          <w:p>
            <w:r>
              <w:t xml:space="preserve">0.22</w:t>
            </w:r>
          </w:p>
        </w:tc>
        <w:tc>
          <w:tcPr>
            <w:tcW w:w="1700" w:type="dxa"/>
          </w:tcPr>
          <w:p>
            <w:r>
              <w:t xml:space="preserve">92%</w:t>
            </w:r>
          </w:p>
        </w:tc>
      </w:tr>
      <w:tr>
        <w:trPr>
          <w:cantSplit/>
        </w:trPr>
        <w:tc>
          <w:tcPr>
            <w:tcW w:w="2400" w:type="dxa"/>
          </w:tcPr>
          <w:p>
            <w:r>
              <w:t xml:space="preserve">Large seasonal swing</w:t>
            </w:r>
          </w:p>
        </w:tc>
        <w:tc>
          <w:tcPr>
            <w:tcW w:w="1100" w:type="dxa"/>
          </w:tcPr>
          <w:p>
            <w:r>
              <w:t xml:space="preserve">31</w:t>
            </w:r>
          </w:p>
        </w:tc>
        <w:tc>
          <w:tcPr>
            <w:tcW w:w="1800" w:type="dxa"/>
          </w:tcPr>
          <w:p>
            <w:r>
              <w:t xml:space="preserve">39.9</w:t>
            </w:r>
          </w:p>
        </w:tc>
        <w:tc>
          <w:tcPr>
            <w:tcW w:w="1700" w:type="dxa"/>
          </w:tcPr>
          <w:p>
            <w:r>
              <w:t xml:space="preserve">33.7</w:t>
            </w:r>
          </w:p>
        </w:tc>
        <w:tc>
          <w:tcPr>
            <w:tcW w:w="1200" w:type="dxa"/>
          </w:tcPr>
          <w:p>
            <w:r>
              <w:t xml:space="preserve">0.13</w:t>
            </w:r>
          </w:p>
        </w:tc>
        <w:tc>
          <w:tcPr>
            <w:tcW w:w="1700" w:type="dxa"/>
          </w:tcPr>
          <w:p>
            <w:r>
              <w:t xml:space="preserve">84%</w:t>
            </w:r>
          </w:p>
        </w:tc>
      </w:tr>
      <w:tr>
        <w:trPr>
          <w:cantSplit/>
        </w:trPr>
        <w:tc>
          <w:tcPr>
            <w:tcW w:w="2400" w:type="dxa"/>
          </w:tcPr>
          <w:p>
            <w:r>
              <w:t xml:space="preserve">Moderate, mixed urban</w:t>
            </w:r>
          </w:p>
        </w:tc>
        <w:tc>
          <w:tcPr>
            <w:tcW w:w="1100" w:type="dxa"/>
          </w:tcPr>
          <w:p>
            <w:r>
              <w:t xml:space="preserve">142</w:t>
            </w:r>
          </w:p>
        </w:tc>
        <w:tc>
          <w:tcPr>
            <w:tcW w:w="1800" w:type="dxa"/>
          </w:tcPr>
          <w:p>
            <w:r>
              <w:t xml:space="preserve">39.6</w:t>
            </w:r>
          </w:p>
        </w:tc>
        <w:tc>
          <w:tcPr>
            <w:tcW w:w="1700" w:type="dxa"/>
          </w:tcPr>
          <w:p>
            <w:r>
              <w:t xml:space="preserve">37.0</w:t>
            </w:r>
          </w:p>
        </w:tc>
        <w:tc>
          <w:tcPr>
            <w:tcW w:w="1200" w:type="dxa"/>
          </w:tcPr>
          <w:p>
            <w:r>
              <w:t xml:space="preserve">0.33</w:t>
            </w:r>
          </w:p>
        </w:tc>
        <w:tc>
          <w:tcPr>
            <w:tcW w:w="1700" w:type="dxa"/>
          </w:tcPr>
          <w:p>
            <w:r>
              <w:t xml:space="preserve">86%</w:t>
            </w:r>
          </w:p>
        </w:tc>
      </w:tr>
      <w:tr>
        <w:trPr>
          <w:cantSplit/>
        </w:trPr>
        <w:tc>
          <w:tcPr>
            <w:tcW w:w="2400" w:type="dxa"/>
          </w:tcPr>
          <w:p>
            <w:r>
              <w:t xml:space="preserve">Cool and green</w:t>
            </w:r>
          </w:p>
        </w:tc>
        <w:tc>
          <w:tcPr>
            <w:tcW w:w="1100" w:type="dxa"/>
          </w:tcPr>
          <w:p>
            <w:r>
              <w:t xml:space="preserve">67</w:t>
            </w:r>
          </w:p>
        </w:tc>
        <w:tc>
          <w:tcPr>
            <w:tcW w:w="1800" w:type="dxa"/>
          </w:tcPr>
          <w:p>
            <w:r>
              <w:t xml:space="preserve">36.5</w:t>
            </w:r>
          </w:p>
        </w:tc>
        <w:tc>
          <w:tcPr>
            <w:tcW w:w="1700" w:type="dxa"/>
          </w:tcPr>
          <w:p>
            <w:r>
              <w:t xml:space="preserve">34.4</w:t>
            </w:r>
          </w:p>
        </w:tc>
        <w:tc>
          <w:tcPr>
            <w:tcW w:w="1200" w:type="dxa"/>
          </w:tcPr>
          <w:p>
            <w:r>
              <w:t xml:space="preserve">0.52</w:t>
            </w:r>
          </w:p>
        </w:tc>
        <w:tc>
          <w:tcPr>
            <w:tcW w:w="1700" w:type="dxa"/>
          </w:tcPr>
          <w:p>
            <w:r>
              <w:t xml:space="preserve">34%</w:t>
            </w:r>
          </w:p>
        </w:tc>
      </w:tr>
    </w:tbl>
    <w:p/>
    <w:p>
      <w:r>
        <w:t xml:space="preserve">The large-seasonal-swing type is the city centre (Kampong Glam, Phillip, Bugis, Raffles Place, Victoria, Boat Quay and others): among the hottest in the inter-monsoon months, but the coolest in December to February (6.2 °C apart, against about 2.5 °C for the other types). The cause was not tested.</w:t>
      </w:r>
    </w:p>
    <w:p>
      <w:pPr>
        <w:pStyle w:val="Heading1"/>
      </w:pPr>
      <w:r>
        <w:t xml:space="preserve">3. Ablations and controlled comparisons</w:t>
      </w:r>
    </w:p>
    <w:p>
      <w:pPr>
        <w:pStyle w:val="Heading2"/>
      </w:pPr>
      <w:r>
        <w:t xml:space="preserve">3.1 K-means against a Gaussian mixture</w:t>
      </w:r>
    </w:p>
    <w:p>
      <w:r>
        <w:t xml:space="preserve">K-means (4 clusters) has the higher silhouette (0.34 against 0.30), lower Davies-Bouldin and better seed stability, so it is the production typology. The two partitions agree only moderately (ARI 0.44), partly because GMM chose 3 clusters: the typology's exact boundaries depend on the method.</w:t>
      </w:r>
    </w:p>
    <w:p>
      <w:pPr>
        <w:pStyle w:val="Heading2"/>
      </w:pPr>
      <w:r>
        <w:t xml:space="preserve">3.2 Number of clusters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300"/>
        <w:gridCol w:w="3300"/>
        <w:gridCol w:w="3300"/>
      </w:tblGrid>
      <w:tr>
        <w:trPr>
          <w:tblHeader/>
        </w:trPr>
        <w:tc>
          <w:tcPr>
            <w:tcW w:w="3300" w:type="dxa"/>
            <w:shd w:val="clear" w:color="auto" w:fill="E2E8F0"/>
          </w:tcPr>
          <w:p>
            <w:r>
              <w:t xml:space="preserve">Clusters (k)</w:t>
            </w:r>
          </w:p>
        </w:tc>
        <w:tc>
          <w:tcPr>
            <w:tcW w:w="3300" w:type="dxa"/>
            <w:shd w:val="clear" w:color="auto" w:fill="E2E8F0"/>
          </w:tcPr>
          <w:p>
            <w:r>
              <w:t xml:space="preserve">K-means silhouette</w:t>
            </w:r>
          </w:p>
        </w:tc>
        <w:tc>
          <w:tcPr>
            <w:tcW w:w="3300" w:type="dxa"/>
            <w:shd w:val="clear" w:color="auto" w:fill="E2E8F0"/>
          </w:tcPr>
          <w:p>
            <w:r>
              <w:t xml:space="preserve">GMM silhouette</w:t>
            </w:r>
          </w:p>
        </w:tc>
      </w:tr>
      <w:tr>
        <w:trPr>
          <w:cantSplit/>
        </w:trPr>
        <w:tc>
          <w:tcPr>
            <w:tcW w:w="3300" w:type="dxa"/>
          </w:tcPr>
          <w:p>
            <w:r>
              <w:t xml:space="preserve">2</w:t>
            </w:r>
          </w:p>
        </w:tc>
        <w:tc>
          <w:tcPr>
            <w:tcW w:w="3300" w:type="dxa"/>
          </w:tcPr>
          <w:p>
            <w:r>
              <w:t xml:space="preserve">0.501</w:t>
            </w:r>
          </w:p>
        </w:tc>
        <w:tc>
          <w:tcPr>
            <w:tcW w:w="3300" w:type="dxa"/>
          </w:tcPr>
          <w:p>
            <w:r>
              <w:t xml:space="preserve">0.431</w:t>
            </w:r>
          </w:p>
        </w:tc>
      </w:tr>
      <w:tr>
        <w:trPr>
          <w:cantSplit/>
        </w:trPr>
        <w:tc>
          <w:tcPr>
            <w:tcW w:w="3300" w:type="dxa"/>
          </w:tcPr>
          <w:p>
            <w:r>
              <w:t xml:space="preserve">3</w:t>
            </w:r>
          </w:p>
        </w:tc>
        <w:tc>
          <w:tcPr>
            <w:tcW w:w="3300" w:type="dxa"/>
          </w:tcPr>
          <w:p>
            <w:r>
              <w:t xml:space="preserve">0.327</w:t>
            </w:r>
          </w:p>
        </w:tc>
        <w:tc>
          <w:tcPr>
            <w:tcW w:w="3300" w:type="dxa"/>
          </w:tcPr>
          <w:p>
            <w:r>
              <w:t xml:space="preserve">0.297</w:t>
            </w:r>
          </w:p>
        </w:tc>
      </w:tr>
      <w:tr>
        <w:trPr>
          <w:cantSplit/>
        </w:trPr>
        <w:tc>
          <w:tcPr>
            <w:tcW w:w="3300" w:type="dxa"/>
          </w:tcPr>
          <w:p>
            <w:r>
              <w:t xml:space="preserve">4 (production)</w:t>
            </w:r>
          </w:p>
        </w:tc>
        <w:tc>
          <w:tcPr>
            <w:tcW w:w="3300" w:type="dxa"/>
          </w:tcPr>
          <w:p>
            <w:r>
              <w:t xml:space="preserve">0.342</w:t>
            </w:r>
          </w:p>
        </w:tc>
        <w:tc>
          <w:tcPr>
            <w:tcW w:w="3300" w:type="dxa"/>
          </w:tcPr>
          <w:p>
            <w:r>
              <w:t xml:space="preserve">0.217</w:t>
            </w:r>
          </w:p>
        </w:tc>
      </w:tr>
      <w:tr>
        <w:trPr>
          <w:cantSplit/>
        </w:trPr>
        <w:tc>
          <w:tcPr>
            <w:tcW w:w="3300" w:type="dxa"/>
          </w:tcPr>
          <w:p>
            <w:r>
              <w:t xml:space="preserve">5</w:t>
            </w:r>
          </w:p>
        </w:tc>
        <w:tc>
          <w:tcPr>
            <w:tcW w:w="3300" w:type="dxa"/>
          </w:tcPr>
          <w:p>
            <w:r>
              <w:t xml:space="preserve">0.327</w:t>
            </w:r>
          </w:p>
        </w:tc>
        <w:tc>
          <w:tcPr>
            <w:tcW w:w="3300" w:type="dxa"/>
          </w:tcPr>
          <w:p>
            <w:r>
              <w:t xml:space="preserve">0.169</w:t>
            </w:r>
          </w:p>
        </w:tc>
      </w:tr>
      <w:tr>
        <w:trPr>
          <w:cantSplit/>
        </w:trPr>
        <w:tc>
          <w:tcPr>
            <w:tcW w:w="3300" w:type="dxa"/>
          </w:tcPr>
          <w:p>
            <w:r>
              <w:t xml:space="preserve">6</w:t>
            </w:r>
          </w:p>
        </w:tc>
        <w:tc>
          <w:tcPr>
            <w:tcW w:w="3300" w:type="dxa"/>
          </w:tcPr>
          <w:p>
            <w:r>
              <w:t xml:space="preserve">0.299</w:t>
            </w:r>
          </w:p>
        </w:tc>
        <w:tc>
          <w:tcPr>
            <w:tcW w:w="3300" w:type="dxa"/>
          </w:tcPr>
          <w:p>
            <w:r>
              <w:t xml:space="preserve">0.199</w:t>
            </w:r>
          </w:p>
        </w:tc>
      </w:tr>
      <w:tr>
        <w:trPr>
          <w:cantSplit/>
        </w:trPr>
        <w:tc>
          <w:tcPr>
            <w:tcW w:w="3300" w:type="dxa"/>
          </w:tcPr>
          <w:p>
            <w:r>
              <w:t xml:space="preserve">7</w:t>
            </w:r>
          </w:p>
        </w:tc>
        <w:tc>
          <w:tcPr>
            <w:tcW w:w="3300" w:type="dxa"/>
          </w:tcPr>
          <w:p>
            <w:r>
              <w:t xml:space="preserve">0.311</w:t>
            </w:r>
          </w:p>
        </w:tc>
        <w:tc>
          <w:tcPr>
            <w:tcW w:w="3300" w:type="dxa"/>
          </w:tcPr>
          <w:p>
            <w:r>
              <w:t xml:space="preserve">0.197</w:t>
            </w:r>
          </w:p>
        </w:tc>
      </w:tr>
      <w:tr>
        <w:trPr>
          <w:cantSplit/>
        </w:trPr>
        <w:tc>
          <w:tcPr>
            <w:tcW w:w="3300" w:type="dxa"/>
          </w:tcPr>
          <w:p>
            <w:r>
              <w:t xml:space="preserve">8</w:t>
            </w:r>
          </w:p>
        </w:tc>
        <w:tc>
          <w:tcPr>
            <w:tcW w:w="3300" w:type="dxa"/>
          </w:tcPr>
          <w:p>
            <w:r>
              <w:t xml:space="preserve">0.319</w:t>
            </w:r>
          </w:p>
        </w:tc>
        <w:tc>
          <w:tcPr>
            <w:tcW w:w="3300" w:type="dxa"/>
          </w:tcPr>
          <w:p>
            <w:r>
              <w:t xml:space="preserve">0.195</w:t>
            </w:r>
          </w:p>
        </w:tc>
      </w:tr>
    </w:tbl>
    <w:p/>
    <w:p>
      <w:r>
        <w:t xml:space="preserve">The number of clusters was chosen by this sweep on the same data, the standard procedure for unsupervised clustering, with at least 3 clusters so that a trivial two-way split could not win. There is no held-out test of the choice.</w:t>
      </w:r>
    </w:p>
    <w:p>
      <w:pPr>
        <w:pStyle w:val="Heading2"/>
      </w:pPr>
      <w:r>
        <w:t xml:space="preserve">3.3 Feature sets</w:t>
      </w:r>
    </w:p>
    <w:p>
      <w:r>
        <w:t xml:space="preserve">K-means with 4 clusters was refitted on subsets of the features and compared with the production typology. Silhouettes are not comparable across feature sets of different sizes; agreement shows how much each subset reproduces the production types.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900"/>
        <w:gridCol w:w="1200"/>
        <w:gridCol w:w="1800"/>
        <w:gridCol w:w="3000"/>
      </w:tblGrid>
      <w:tr>
        <w:trPr>
          <w:tblHeader/>
        </w:trPr>
        <w:tc>
          <w:tcPr>
            <w:tcW w:w="3900" w:type="dxa"/>
            <w:shd w:val="clear" w:color="auto" w:fill="E2E8F0"/>
          </w:tcPr>
          <w:p>
            <w:r>
              <w:t xml:space="preserve">Features used</w:t>
            </w:r>
          </w:p>
        </w:tc>
        <w:tc>
          <w:tcPr>
            <w:tcW w:w="1200" w:type="dxa"/>
            <w:shd w:val="clear" w:color="auto" w:fill="E2E8F0"/>
          </w:tcPr>
          <w:p>
            <w:r>
              <w:t xml:space="preserve">Number</w:t>
            </w:r>
          </w:p>
        </w:tc>
        <w:tc>
          <w:tcPr>
            <w:tcW w:w="1800" w:type="dxa"/>
            <w:shd w:val="clear" w:color="auto" w:fill="E2E8F0"/>
          </w:tcPr>
          <w:p>
            <w:r>
              <w:t xml:space="preserve">Silhouette</w:t>
            </w:r>
          </w:p>
        </w:tc>
        <w:tc>
          <w:tcPr>
            <w:tcW w:w="3000" w:type="dxa"/>
            <w:shd w:val="clear" w:color="auto" w:fill="E2E8F0"/>
          </w:tcPr>
          <w:p>
            <w:r>
              <w:t xml:space="preserve">Agreement with production (ARI)</w:t>
            </w:r>
          </w:p>
        </w:tc>
      </w:tr>
      <w:tr>
        <w:trPr>
          <w:cantSplit/>
        </w:trPr>
        <w:tc>
          <w:tcPr>
            <w:tcW w:w="3900" w:type="dxa"/>
          </w:tcPr>
          <w:p>
            <w:r>
              <w:t xml:space="preserve">All six (production)</w:t>
            </w:r>
          </w:p>
        </w:tc>
        <w:tc>
          <w:tcPr>
            <w:tcW w:w="1200" w:type="dxa"/>
          </w:tcPr>
          <w:p>
            <w:r>
              <w:t xml:space="preserve">6</w:t>
            </w:r>
          </w:p>
        </w:tc>
        <w:tc>
          <w:tcPr>
            <w:tcW w:w="1800" w:type="dxa"/>
          </w:tcPr>
          <w:p>
            <w:r>
              <w:t xml:space="preserve">0.342</w:t>
            </w:r>
          </w:p>
        </w:tc>
        <w:tc>
          <w:tcPr>
            <w:tcW w:w="3000" w:type="dxa"/>
          </w:tcPr>
          <w:p>
            <w:r>
              <w:t xml:space="preserve">1.00</w:t>
            </w:r>
          </w:p>
        </w:tc>
      </w:tr>
      <w:tr>
        <w:trPr>
          <w:cantSplit/>
        </w:trPr>
        <w:tc>
          <w:tcPr>
            <w:tcW w:w="3900" w:type="dxa"/>
          </w:tcPr>
          <w:p>
            <w:r>
              <w:t xml:space="preserve">Inter-monsoon only</w:t>
            </w:r>
          </w:p>
        </w:tc>
        <w:tc>
          <w:tcPr>
            <w:tcW w:w="1200" w:type="dxa"/>
          </w:tcPr>
          <w:p>
            <w:r>
              <w:t xml:space="preserve">3</w:t>
            </w:r>
          </w:p>
        </w:tc>
        <w:tc>
          <w:tcPr>
            <w:tcW w:w="1800" w:type="dxa"/>
          </w:tcPr>
          <w:p>
            <w:r>
              <w:t xml:space="preserve">0.381</w:t>
            </w:r>
          </w:p>
        </w:tc>
        <w:tc>
          <w:tcPr>
            <w:tcW w:w="3000" w:type="dxa"/>
          </w:tcPr>
          <w:p>
            <w:r>
              <w:t xml:space="preserve">0.48</w:t>
            </w:r>
          </w:p>
        </w:tc>
      </w:tr>
      <w:tr>
        <w:trPr>
          <w:cantSplit/>
        </w:trPr>
        <w:tc>
          <w:tcPr>
            <w:tcW w:w="3900" w:type="dxa"/>
          </w:tcPr>
          <w:p>
            <w:r>
              <w:t xml:space="preserve">December-February only</w:t>
            </w:r>
          </w:p>
        </w:tc>
        <w:tc>
          <w:tcPr>
            <w:tcW w:w="1200" w:type="dxa"/>
          </w:tcPr>
          <w:p>
            <w:r>
              <w:t xml:space="preserve">3</w:t>
            </w:r>
          </w:p>
        </w:tc>
        <w:tc>
          <w:tcPr>
            <w:tcW w:w="1800" w:type="dxa"/>
          </w:tcPr>
          <w:p>
            <w:r>
              <w:t xml:space="preserve">0.335</w:t>
            </w:r>
          </w:p>
        </w:tc>
        <w:tc>
          <w:tcPr>
            <w:tcW w:w="3000" w:type="dxa"/>
          </w:tcPr>
          <w:p>
            <w:r>
              <w:t xml:space="preserve">0.74</w:t>
            </w:r>
          </w:p>
        </w:tc>
      </w:tr>
      <w:tr>
        <w:trPr>
          <w:cantSplit/>
        </w:trPr>
        <w:tc>
          <w:tcPr>
            <w:tcW w:w="3900" w:type="dxa"/>
          </w:tcPr>
          <w:p>
            <w:r>
              <w:t xml:space="preserve">Temperature only</w:t>
            </w:r>
          </w:p>
        </w:tc>
        <w:tc>
          <w:tcPr>
            <w:tcW w:w="1200" w:type="dxa"/>
          </w:tcPr>
          <w:p>
            <w:r>
              <w:t xml:space="preserve">2</w:t>
            </w:r>
          </w:p>
        </w:tc>
        <w:tc>
          <w:tcPr>
            <w:tcW w:w="1800" w:type="dxa"/>
          </w:tcPr>
          <w:p>
            <w:r>
              <w:t xml:space="preserve">0.369</w:t>
            </w:r>
          </w:p>
        </w:tc>
        <w:tc>
          <w:tcPr>
            <w:tcW w:w="3000" w:type="dxa"/>
          </w:tcPr>
          <w:p>
            <w:r>
              <w:t xml:space="preserve">0.25</w:t>
            </w:r>
          </w:p>
        </w:tc>
      </w:tr>
      <w:tr>
        <w:trPr>
          <w:cantSplit/>
        </w:trPr>
        <w:tc>
          <w:tcPr>
            <w:tcW w:w="3900" w:type="dxa"/>
          </w:tcPr>
          <w:p>
            <w:r>
              <w:t xml:space="preserve">Indices only (no temperature)</w:t>
            </w:r>
          </w:p>
        </w:tc>
        <w:tc>
          <w:tcPr>
            <w:tcW w:w="1200" w:type="dxa"/>
          </w:tcPr>
          <w:p>
            <w:r>
              <w:t xml:space="preserve">4</w:t>
            </w:r>
          </w:p>
        </w:tc>
        <w:tc>
          <w:tcPr>
            <w:tcW w:w="1800" w:type="dxa"/>
          </w:tcPr>
          <w:p>
            <w:r>
              <w:t xml:space="preserve">0.448</w:t>
            </w:r>
          </w:p>
        </w:tc>
        <w:tc>
          <w:tcPr>
            <w:tcW w:w="3000" w:type="dxa"/>
          </w:tcPr>
          <w:p>
            <w:r>
              <w:t xml:space="preserve">0.33</w:t>
            </w:r>
          </w:p>
        </w:tc>
      </w:tr>
      <w:tr>
        <w:trPr>
          <w:cantSplit/>
        </w:trPr>
        <w:tc>
          <w:tcPr>
            <w:tcW w:w="3900" w:type="dxa"/>
          </w:tcPr>
          <w:p>
            <w:r>
              <w:t xml:space="preserve">Without NDBI</w:t>
            </w:r>
          </w:p>
        </w:tc>
        <w:tc>
          <w:tcPr>
            <w:tcW w:w="1200" w:type="dxa"/>
          </w:tcPr>
          <w:p>
            <w:r>
              <w:t xml:space="preserve">4</w:t>
            </w:r>
          </w:p>
        </w:tc>
        <w:tc>
          <w:tcPr>
            <w:tcW w:w="1800" w:type="dxa"/>
          </w:tcPr>
          <w:p>
            <w:r>
              <w:t xml:space="preserve">0.349</w:t>
            </w:r>
          </w:p>
        </w:tc>
        <w:tc>
          <w:tcPr>
            <w:tcW w:w="3000" w:type="dxa"/>
          </w:tcPr>
          <w:p>
            <w:r>
              <w:t xml:space="preserve">0.67</w:t>
            </w:r>
          </w:p>
        </w:tc>
      </w:tr>
      <w:tr>
        <w:trPr>
          <w:cantSplit/>
        </w:trPr>
        <w:tc>
          <w:tcPr>
            <w:tcW w:w="3900" w:type="dxa"/>
          </w:tcPr>
          <w:p>
            <w:r>
              <w:t xml:space="preserve">Without NDVI</w:t>
            </w:r>
          </w:p>
        </w:tc>
        <w:tc>
          <w:tcPr>
            <w:tcW w:w="1200" w:type="dxa"/>
          </w:tcPr>
          <w:p>
            <w:r>
              <w:t xml:space="preserve">4</w:t>
            </w:r>
          </w:p>
        </w:tc>
        <w:tc>
          <w:tcPr>
            <w:tcW w:w="1800" w:type="dxa"/>
          </w:tcPr>
          <w:p>
            <w:r>
              <w:t xml:space="preserve">0.354</w:t>
            </w:r>
          </w:p>
        </w:tc>
        <w:tc>
          <w:tcPr>
            <w:tcW w:w="3000" w:type="dxa"/>
          </w:tcPr>
          <w:p>
            <w:r>
              <w:t xml:space="preserve">0.74</w:t>
            </w:r>
          </w:p>
        </w:tc>
      </w:tr>
    </w:tbl>
    <w:p/>
    <w:p>
      <w:r>
        <w:t xml:space="preserve">Neither temperature alone (ARI 0.25) nor the surface indices alone (0.33) reproduces the types: they combine heat with greenness and built-up character. Dropping one index keeps most of the structure (0.67 without NDBI, 0.74 without NDVI), as does keeping only December to February (0.74); keeping only the inter-monsoon months changes the types much more (0.48).</w:t>
      </w:r>
    </w:p>
    <w:p>
      <w:pPr>
        <w:pStyle w:val="Heading1"/>
      </w:pPr>
      <w:r>
        <w:t xml:space="preserve">4. Relation to the priority ranking</w:t>
      </w:r>
    </w:p>
    <w:p>
      <w:r>
        <w:t xml:space="preserve">The typology does not enter the priority score, so no choice here can change the ranking and there is no decision-impact test. The table shows where each view's top-20 subzones fall.</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500"/>
        <w:gridCol w:w="1700"/>
        <w:gridCol w:w="1800"/>
        <w:gridCol w:w="1800"/>
        <w:gridCol w:w="2100"/>
      </w:tblGrid>
      <w:tr>
        <w:trPr>
          <w:tblHeader/>
        </w:trPr>
        <w:tc>
          <w:tcPr>
            <w:tcW w:w="2500" w:type="dxa"/>
            <w:shd w:val="clear" w:color="auto" w:fill="E2E8F0"/>
          </w:tcPr>
          <w:p>
            <w:r>
              <w:t xml:space="preserve">Type</w:t>
            </w:r>
          </w:p>
        </w:tc>
        <w:tc>
          <w:tcPr>
            <w:tcW w:w="1700" w:type="dxa"/>
            <w:shd w:val="clear" w:color="auto" w:fill="E2E8F0"/>
          </w:tcPr>
          <w:p>
            <w:r>
              <w:t xml:space="preserve">Residents view: ranked</w:t>
            </w:r>
          </w:p>
        </w:tc>
        <w:tc>
          <w:tcPr>
            <w:tcW w:w="1800" w:type="dxa"/>
            <w:shd w:val="clear" w:color="auto" w:fill="E2E8F0"/>
          </w:tcPr>
          <w:p>
            <w:r>
              <w:t xml:space="preserve">Residents view: in top 20</w:t>
            </w:r>
          </w:p>
        </w:tc>
        <w:tc>
          <w:tcPr>
            <w:tcW w:w="1800" w:type="dxa"/>
            <w:shd w:val="clear" w:color="auto" w:fill="E2E8F0"/>
          </w:tcPr>
          <w:p>
            <w:r>
              <w:t xml:space="preserve">All-places view: in top 20</w:t>
            </w:r>
          </w:p>
        </w:tc>
        <w:tc>
          <w:tcPr>
            <w:tcW w:w="2100" w:type="dxa"/>
            <w:shd w:val="clear" w:color="auto" w:fill="E2E8F0"/>
          </w:tcPr>
          <w:p>
            <w:r>
              <w:t xml:space="preserve">Mean priority score (residents)</w:t>
            </w:r>
          </w:p>
        </w:tc>
      </w:tr>
      <w:tr>
        <w:trPr>
          <w:cantSplit/>
        </w:trPr>
        <w:tc>
          <w:tcPr>
            <w:tcW w:w="2500" w:type="dxa"/>
          </w:tcPr>
          <w:p>
            <w:r>
              <w:t xml:space="preserve">Hot, densely built</w:t>
            </w:r>
          </w:p>
        </w:tc>
        <w:tc>
          <w:tcPr>
            <w:tcW w:w="1700" w:type="dxa"/>
          </w:tcPr>
          <w:p>
            <w:r>
              <w:t xml:space="preserve">49</w:t>
            </w:r>
          </w:p>
        </w:tc>
        <w:tc>
          <w:tcPr>
            <w:tcW w:w="1800" w:type="dxa"/>
          </w:tcPr>
          <w:p>
            <w:r>
              <w:t xml:space="preserve">12</w:t>
            </w:r>
          </w:p>
        </w:tc>
        <w:tc>
          <w:tcPr>
            <w:tcW w:w="1800" w:type="dxa"/>
          </w:tcPr>
          <w:p>
            <w:r>
              <w:t xml:space="preserve">19</w:t>
            </w:r>
          </w:p>
        </w:tc>
        <w:tc>
          <w:tcPr>
            <w:tcW w:w="2100" w:type="dxa"/>
          </w:tcPr>
          <w:p>
            <w:r>
              <w:t xml:space="preserve">0.77</w:t>
            </w:r>
          </w:p>
        </w:tc>
      </w:tr>
      <w:tr>
        <w:trPr>
          <w:cantSplit/>
        </w:trPr>
        <w:tc>
          <w:tcPr>
            <w:tcW w:w="2500" w:type="dxa"/>
          </w:tcPr>
          <w:p>
            <w:r>
              <w:t xml:space="preserve">Large seasonal swing</w:t>
            </w:r>
          </w:p>
        </w:tc>
        <w:tc>
          <w:tcPr>
            <w:tcW w:w="1700" w:type="dxa"/>
          </w:tcPr>
          <w:p>
            <w:r>
              <w:t xml:space="preserve">12</w:t>
            </w:r>
          </w:p>
        </w:tc>
        <w:tc>
          <w:tcPr>
            <w:tcW w:w="1800" w:type="dxa"/>
          </w:tcPr>
          <w:p>
            <w:r>
              <w:t xml:space="preserve">4</w:t>
            </w:r>
          </w:p>
        </w:tc>
        <w:tc>
          <w:tcPr>
            <w:tcW w:w="1800" w:type="dxa"/>
          </w:tcPr>
          <w:p>
            <w:r>
              <w:t xml:space="preserve">1</w:t>
            </w:r>
          </w:p>
        </w:tc>
        <w:tc>
          <w:tcPr>
            <w:tcW w:w="2100" w:type="dxa"/>
          </w:tcPr>
          <w:p>
            <w:r>
              <w:t xml:space="preserve">0.72</w:t>
            </w:r>
          </w:p>
        </w:tc>
      </w:tr>
      <w:tr>
        <w:trPr>
          <w:cantSplit/>
        </w:trPr>
        <w:tc>
          <w:tcPr>
            <w:tcW w:w="2500" w:type="dxa"/>
          </w:tcPr>
          <w:p>
            <w:r>
              <w:t xml:space="preserve">Moderate, mixed urban</w:t>
            </w:r>
          </w:p>
        </w:tc>
        <w:tc>
          <w:tcPr>
            <w:tcW w:w="1700" w:type="dxa"/>
          </w:tcPr>
          <w:p>
            <w:r>
              <w:t xml:space="preserve">122</w:t>
            </w:r>
          </w:p>
        </w:tc>
        <w:tc>
          <w:tcPr>
            <w:tcW w:w="1800" w:type="dxa"/>
          </w:tcPr>
          <w:p>
            <w:r>
              <w:t xml:space="preserve">4</w:t>
            </w:r>
          </w:p>
        </w:tc>
        <w:tc>
          <w:tcPr>
            <w:tcW w:w="1800" w:type="dxa"/>
          </w:tcPr>
          <w:p>
            <w:r>
              <w:t xml:space="preserve">0</w:t>
            </w:r>
          </w:p>
        </w:tc>
        <w:tc>
          <w:tcPr>
            <w:tcW w:w="2100" w:type="dxa"/>
          </w:tcPr>
          <w:p>
            <w:r>
              <w:t xml:space="preserve">0.67</w:t>
            </w:r>
          </w:p>
        </w:tc>
      </w:tr>
      <w:tr>
        <w:trPr>
          <w:cantSplit/>
        </w:trPr>
        <w:tc>
          <w:tcPr>
            <w:tcW w:w="2500" w:type="dxa"/>
          </w:tcPr>
          <w:p>
            <w:r>
              <w:t xml:space="preserve">Cool and green</w:t>
            </w:r>
          </w:p>
        </w:tc>
        <w:tc>
          <w:tcPr>
            <w:tcW w:w="1700" w:type="dxa"/>
          </w:tcPr>
          <w:p>
            <w:r>
              <w:t xml:space="preserve">28</w:t>
            </w:r>
          </w:p>
        </w:tc>
        <w:tc>
          <w:tcPr>
            <w:tcW w:w="1800" w:type="dxa"/>
          </w:tcPr>
          <w:p>
            <w:r>
              <w:t xml:space="preserve">0</w:t>
            </w:r>
          </w:p>
        </w:tc>
        <w:tc>
          <w:tcPr>
            <w:tcW w:w="1800" w:type="dxa"/>
          </w:tcPr>
          <w:p>
            <w:r>
              <w:t xml:space="preserve">0</w:t>
            </w:r>
          </w:p>
        </w:tc>
        <w:tc>
          <w:tcPr>
            <w:tcW w:w="2100" w:type="dxa"/>
          </w:tcPr>
          <w:p>
            <w:r>
              <w:t xml:space="preserve">0.36</w:t>
            </w:r>
          </w:p>
        </w:tc>
      </w:tr>
    </w:tbl>
    <w:p/>
    <w:p>
      <w:r>
        <w:t xml:space="preserve">The hottest type supplies most of the top-20 subzones in both views, and the green type none, which is expected because heat and missing greenery are two of the score's inputs. The typology adds a description of what kind of place each priority subzone is.</w:t>
      </w:r>
    </w:p>
    <w:p>
      <w:pPr>
        <w:pStyle w:val="Heading1"/>
      </w:pPr>
      <w:r>
        <w:t xml:space="preserve">5. Exploratory analyses</w:t>
      </w:r>
    </w:p>
    <w:p>
      <w:r>
        <w:rPr>
          <w:b/>
        </w:rPr>
        <w:t xml:space="preserve">GMM membership certainty. </w:t>
      </w:r>
      <w:r>
        <w:t xml:space="preserve">The GMM gives each subzone a probability of belonging to each type. 79% of subzones belong to one type with probability 0.9 or more; the rest sit between types, consistent with the moderate bootstrap stability.</w:t>
      </w:r>
    </w:p>
    <w:p>
      <w:pPr>
        <w:pStyle w:val="Heading1"/>
      </w:pPr>
      <w:r>
        <w:t xml:space="preserve">6. Limitations</w:t>
      </w:r>
    </w:p>
    <w:p>
      <w:r>
        <w:rPr>
          <w:b/>
        </w:rPr>
        <w:t xml:space="preserve">No ground truth. </w:t>
      </w:r>
      <w:r>
        <w:t xml:space="preserve">There is no reference typology, so the evaluation shows the types are real, repeatable and physically consistent, not that they are the right types.</w:t>
      </w:r>
    </w:p>
    <w:p>
      <w:r>
        <w:rPr>
          <w:b/>
        </w:rPr>
        <w:t xml:space="preserve">Daytime only. </w:t>
      </w:r>
      <w:r>
        <w:t xml:space="preserve">Landsat passes in the late morning, so the typology says nothing about night-time heat; a day-night typology was planned but not built.</w:t>
      </w:r>
    </w:p>
    <w:p>
      <w:r>
        <w:rPr>
          <w:b/>
        </w:rPr>
        <w:t xml:space="preserve">Selection on the same data. </w:t>
      </w:r>
      <w:r>
        <w:t xml:space="preserve">The number of clusters and the method were both chosen by silhouette on the data being clustered.</w:t>
      </w:r>
    </w:p>
    <w:p>
      <w:r>
        <w:rPr>
          <w:b/>
        </w:rPr>
        <w:t xml:space="preserve">Boundary subzones. </w:t>
      </w:r>
      <w:r>
        <w:t xml:space="preserve">Bootstrap stability is moderate, so subzones near a type boundary can change type.</w:t>
      </w:r>
    </w:p>
    <w:p>
      <w:r>
        <w:rPr>
          <w:b/>
        </w:rPr>
        <w:t xml:space="preserve">Subzone averages. </w:t>
      </w:r>
      <w:r>
        <w:t xml:space="preserve">Each subzone is one row of averages, which hides variation within large or mixed subzones.</w:t>
      </w:r>
    </w:p>
    <w:p>
      <w:pPr>
        <w:pStyle w:val="Heading1"/>
      </w:pPr>
      <w:r>
        <w:t xml:space="preserve">Sources</w:t>
      </w:r>
    </w:p>
    <w:p>
      <w:r>
        <w:t xml:space="preserve">Clustering: scripts/build_hotspot_clusters.py, src/hotspots/cluster.py, src/hotspots/features.py. Evaluation: scripts/evaluate_hotspot_typology.py, validation/hotspots_validation/typology_evaluation.py, validation/hotspots_validation/cluster_quality.py (outputs in data/processed/diagnostics/typology_*.csv).</w:t>
      </w:r>
    </w:p>
    <w:sectPr w:rsidR="007606BC">
      <w:pgSz w:w="11906" w:h="16838"/>
      <w:pgMar w:top="1000" w:right="1000" w:bottom="100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606BC"/>
    <w:rsid w:val="005B3AFC"/>
    <w:rsid w:val="007606BC"/>
    <w:rsid w:val="00D9691E"/>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514C7"/>
  <w15:docId w15:val="{66D76960-5DC6-4545-898F-CD73969C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SG" w:eastAsia="zh-CN"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outlineLvl w:val="0"/>
    </w:pPr>
    <w:rPr>
      <w:b/>
      <w:color w:val="17365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color w:val="17365D"/>
      <w:sz w:val="38"/>
    </w:rPr>
  </w:style>
  <w:style w:type="paragraph" w:styleId="Subtitle">
    <w:name w:val="Subtitle"/>
    <w:uiPriority w:val="11"/>
    <w:qFormat/>
    <w:rPr>
      <w:color w:val="64748B"/>
    </w:rPr>
  </w:style>
  <w:style w:type="paragraph" w:styleId="Heading2">
    <w:name w:val="heading 2"/>
    <w:basedOn w:val="Normal"/>
    <w:next w:val="Normal"/>
    <w:uiPriority w:val="9"/>
    <w:unhideWhenUsed/>
    <w:qFormat/>
    <w:pPr>
      <w:keepNext/>
      <w:spacing w:before="200"/>
      <w:outlineLvl w:val="1"/>
    </w:pPr>
    <w:rPr>
      <w:b/>
      <w:color w:val="17365D"/>
      <w:sz w:val="24"/>
    </w:rPr>
  </w:style>
  <w:style w:type="paragraph" w:styleId="Heading3">
    <w:name w:val="heading 3"/>
    <w:basedOn w:val="Normal"/>
    <w:next w:val="Normal"/>
    <w:uiPriority w:val="9"/>
    <w:unhideWhenUsed/>
    <w:qFormat/>
    <w:pPr>
      <w:keepNext/>
      <w:spacing w:before="160"/>
      <w:outlineLvl w:val="2"/>
    </w:pPr>
    <w:rPr>
      <w:b/>
      <w:color w:val="334155"/>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933</Words>
  <Characters>5322</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 Typology Evaluation and Ablation Tests</dc:title>
  <cp:lastModifiedBy>Kin Xing</cp:lastModifiedBy>
  <cp:revision>2</cp:revision>
  <dcterms:created xsi:type="dcterms:W3CDTF">2026-09-29T17:28:00Z</dcterms:created>
  <dcterms:modified xsi:type="dcterms:W3CDTF">2026-09-29T17:30:00Z</dcterms:modified>
</cp:coreProperties>
</file>