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 xml:space="preserve">Land-cover Model Evaluation and Ablation Tests</w:t>
      </w:r>
    </w:p>
    <w:p>
      <w:pPr>
        <w:pStyle w:val="Subtitle"/>
      </w:pPr>
      <w:r>
        <w:t xml:space="preserve">RF, U-Net and RF + U-Net hybrid, trained on Dynamic World labels | 5 October 2026</w:t>
      </w:r>
    </w:p>
    <w:p>
      <w:pPr>
        <w:pStyle w:val="Heading1"/>
      </w:pPr>
      <w:r>
        <w:t xml:space="preserve">Summary</w:t>
      </w:r>
    </w:p>
    <w:p>
      <w:r>
        <w:t xml:space="preserve">Land cover feeds the priority score through one number per subzone: its vegetation share, which sets the greenery (adaptive-capacity) pillar. Three classifiers were trained on Dynamic World labels and scored against 300 hand-labelled points: a random forest (RF), a U-Net, and a hybrid that averages their class probabilities.</w:t>
      </w:r>
    </w:p>
    <w:p>
      <w:r>
        <w:t xml:space="preserve">The U-Net has the highest accuracy (81.4%, 95% interval 77.0–85.8%) and is the production model. It is significantly better than RF (73.2%) but not distinguishable from the hybrid (79.1%). Switching the training labels from ESA WorldCover to Dynamic World improved all three models significantly. Texture features, smoothing RF's output and adding RF to the U-Net showed no significant benefit. For the planning output, no land-cover choice changes more of the top-20 subzones than measurement noise alone (noise floor 10.9); among classifiers, the label-source switch has the largest effect.</w:t>
      </w:r>
    </w:p>
    <w:p>
      <w:pPr>
        <w:pStyle w:val="Heading1"/>
      </w:pPr>
      <w:r>
        <w:t xml:space="preserve">1. Setup</w:t>
      </w:r>
    </w:p>
    <w:tbl>
      <w:tblPr>
        <w:tblW w:w="99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300"/>
        <w:gridCol w:w="7600"/>
      </w:tblGrid>
      <w:tr>
        <w:trPr>
          <w:tblHeader/>
        </w:trPr>
        <w:tc>
          <w:tcPr>
            <w:tcW w:w="2300" w:type="dxa"/>
            <w:shd w:val="clear" w:color="auto" w:fill="E2E8F0"/>
          </w:tcPr>
          <w:p>
            <w:r>
              <w:t xml:space="preserve">Item</w:t>
            </w:r>
          </w:p>
        </w:tc>
        <w:tc>
          <w:tcPr>
            <w:tcW w:w="7600" w:type="dxa"/>
            <w:shd w:val="clear" w:color="auto" w:fill="E2E8F0"/>
          </w:tcPr>
          <w:p>
            <w:r>
              <w:t xml:space="preserve">Setting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Test points</w:t>
            </w:r>
          </w:p>
        </w:tc>
        <w:tc>
          <w:tcPr>
            <w:tcW w:w="7600" w:type="dxa"/>
          </w:tcPr>
          <w:p>
            <w:r>
              <w:t xml:space="preserve">300 points labelled by hand on high-resolution imagery: 160 built-up, 107 vegetation, 21 water, 11 bare; 1 flagged uncertain and excluded.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Sampling</w:t>
            </w:r>
          </w:p>
        </w:tc>
        <w:tc>
          <w:tcPr>
            <w:tcW w:w="7600" w:type="dxa"/>
          </w:tcPr>
          <w:p>
            <w:r>
              <w:t xml:space="preserve">Drawn by WorldCover class, with vegetation over-sampled. Accuracies are unweighted over the sample, not area-weighted estimates for the whole island.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Independence</w:t>
            </w:r>
          </w:p>
        </w:tc>
        <w:tc>
          <w:tcPr>
            <w:tcW w:w="7600" w:type="dxa"/>
          </w:tcPr>
          <w:p>
            <w:r>
              <w:t xml:space="preserve">Every model's training data excludes a 15 m buffer around every test point.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Label quality</w:t>
            </w:r>
          </w:p>
        </w:tc>
        <w:tc>
          <w:tcPr>
            <w:tcW w:w="7600" w:type="dxa"/>
          </w:tcPr>
          <w:p>
            <w:r>
              <w:t xml:space="preserve">Two labellers agreed with kappa 0.676 on a 20-point trial.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Points scored</w:t>
            </w:r>
          </w:p>
        </w:tc>
        <w:tc>
          <w:tcPr>
            <w:tcW w:w="7600" w:type="dxa"/>
          </w:tcPr>
          <w:p>
            <w:r>
              <w:t xml:space="preserve">299 for RF; 296 for the U-Net and hybrid (3 points fall outside the U-Net's mapped area).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Statistics</w:t>
            </w:r>
          </w:p>
        </w:tc>
        <w:tc>
          <w:tcPr>
            <w:tcW w:w="7600" w:type="dxa"/>
          </w:tcPr>
          <w:p>
            <w:r>
              <w:t xml:space="preserve">95% accuracy intervals from 4,000 bootstrap resamples; exact McNemar tests on paired predictions.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Record</w:t>
            </w:r>
          </w:p>
        </w:tc>
        <w:tc>
          <w:tcPr>
            <w:tcW w:w="7600" w:type="dxa"/>
          </w:tcPr>
          <w:p>
            <w:r>
              <w:t xml:space="preserve">MLflow experiment landcover_classifiers, batch landcover_eval_final_2026-09-29c. Production map: U-Net, SHA-256 dc33f409…</w:t>
            </w:r>
          </w:p>
        </w:tc>
      </w:tr>
    </w:tbl>
    <w:p/>
    <w:p>
      <w:pPr>
        <w:pStyle w:val="Heading1"/>
      </w:pPr>
      <w:r>
        <w:t xml:space="preserve">2. Evaluation of the final models</w:t>
      </w:r>
    </w:p>
    <w:tbl>
      <w:tblPr>
        <w:tblW w:w="99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1700"/>
        <w:gridCol w:w="1400"/>
        <w:gridCol w:w="2400"/>
      </w:tblGrid>
      <w:tr>
        <w:trPr>
          <w:tblHeader/>
        </w:trPr>
        <w:tc>
          <w:tcPr>
            <w:tcW w:w="3000" w:type="dxa"/>
            <w:shd w:val="clear" w:color="auto" w:fill="E2E8F0"/>
          </w:tcPr>
          <w:p>
            <w:r>
              <w:t xml:space="preserve">Model (Dynamic World labels)</w:t>
            </w:r>
          </w:p>
        </w:tc>
        <w:tc>
          <w:tcPr>
            <w:tcW w:w="1400" w:type="dxa"/>
            <w:shd w:val="clear" w:color="auto" w:fill="E2E8F0"/>
          </w:tcPr>
          <w:p>
            <w:r>
              <w:t xml:space="preserve">Accuracy</w:t>
            </w:r>
          </w:p>
        </w:tc>
        <w:tc>
          <w:tcPr>
            <w:tcW w:w="1700" w:type="dxa"/>
            <w:shd w:val="clear" w:color="auto" w:fill="E2E8F0"/>
          </w:tcPr>
          <w:p>
            <w:r>
              <w:t xml:space="preserve">95% interval</w:t>
            </w:r>
          </w:p>
        </w:tc>
        <w:tc>
          <w:tcPr>
            <w:tcW w:w="1400" w:type="dxa"/>
            <w:shd w:val="clear" w:color="auto" w:fill="E2E8F0"/>
          </w:tcPr>
          <w:p>
            <w:r>
              <w:t xml:space="preserve">Macro F1</w:t>
            </w:r>
          </w:p>
        </w:tc>
        <w:tc>
          <w:tcPr>
            <w:tcW w:w="2400" w:type="dxa"/>
            <w:shd w:val="clear" w:color="auto" w:fill="E2E8F0"/>
          </w:tcPr>
          <w:p>
            <w:r>
              <w:t xml:space="preserve">Role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t xml:space="preserve">U-Net</w:t>
            </w:r>
          </w:p>
        </w:tc>
        <w:tc>
          <w:tcPr>
            <w:tcW w:w="1400" w:type="dxa"/>
          </w:tcPr>
          <w:p>
            <w:r>
              <w:t xml:space="preserve">81.4%</w:t>
            </w:r>
          </w:p>
        </w:tc>
        <w:tc>
          <w:tcPr>
            <w:tcW w:w="1700" w:type="dxa"/>
          </w:tcPr>
          <w:p>
            <w:r>
              <w:t xml:space="preserve">77.0–85.8</w:t>
            </w:r>
          </w:p>
        </w:tc>
        <w:tc>
          <w:tcPr>
            <w:tcW w:w="1400" w:type="dxa"/>
          </w:tcPr>
          <w:p>
            <w:r>
              <w:t xml:space="preserve">0.720</w:t>
            </w:r>
          </w:p>
        </w:tc>
        <w:tc>
          <w:tcPr>
            <w:tcW w:w="2400" w:type="dxa"/>
          </w:tcPr>
          <w:p>
            <w:r>
              <w:t xml:space="preserve">Production model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t xml:space="preserve">Hybrid (50% RF, 50% U-Net)</w:t>
            </w:r>
          </w:p>
        </w:tc>
        <w:tc>
          <w:tcPr>
            <w:tcW w:w="1400" w:type="dxa"/>
          </w:tcPr>
          <w:p>
            <w:r>
              <w:t xml:space="preserve">79.1%</w:t>
            </w:r>
          </w:p>
        </w:tc>
        <w:tc>
          <w:tcPr>
            <w:tcW w:w="1700" w:type="dxa"/>
          </w:tcPr>
          <w:p>
            <w:r>
              <w:t xml:space="preserve">74.3–83.4</w:t>
            </w:r>
          </w:p>
        </w:tc>
        <w:tc>
          <w:tcPr>
            <w:tcW w:w="1400" w:type="dxa"/>
          </w:tcPr>
          <w:p>
            <w:r>
              <w:t xml:space="preserve">0.703</w:t>
            </w:r>
          </w:p>
        </w:tc>
        <w:tc>
          <w:tcPr>
            <w:tcW w:w="2400" w:type="dxa"/>
          </w:tcPr>
          <w:p>
            <w:r>
              <w:t xml:space="preserve">Comparison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t xml:space="preserve">RF</w:t>
            </w:r>
          </w:p>
        </w:tc>
        <w:tc>
          <w:tcPr>
            <w:tcW w:w="1400" w:type="dxa"/>
          </w:tcPr>
          <w:p>
            <w:r>
              <w:t xml:space="preserve">73.2%</w:t>
            </w:r>
          </w:p>
        </w:tc>
        <w:tc>
          <w:tcPr>
            <w:tcW w:w="1700" w:type="dxa"/>
          </w:tcPr>
          <w:p>
            <w:r>
              <w:t xml:space="preserve">68.2–78.3</w:t>
            </w:r>
          </w:p>
        </w:tc>
        <w:tc>
          <w:tcPr>
            <w:tcW w:w="1400" w:type="dxa"/>
          </w:tcPr>
          <w:p>
            <w:r>
              <w:t xml:space="preserve">0.650</w:t>
            </w:r>
          </w:p>
        </w:tc>
        <w:tc>
          <w:tcPr>
            <w:tcW w:w="2400" w:type="dxa"/>
          </w:tcPr>
          <w:p>
            <w:r>
              <w:t xml:space="preserve">Baseline</w:t>
            </w:r>
          </w:p>
        </w:tc>
      </w:tr>
    </w:tbl>
    <w:p/>
    <w:p>
      <w:r>
        <w:t xml:space="preserve">U-Net against RF: 39 vs 14; p &lt; 0.001 (points correct only for the U-Net vs only for RF). U-Net against the hybrid: 16 vs 9; p 0.23, not significant. The U-Net was chosen for its higher observed accuracy and simpler single-model deployment; the test set cannot separate it from the hybrid.</w:t>
      </w:r>
    </w:p>
    <w:p>
      <w:r>
        <w:t xml:space="preserve">The U-Net's 89.8% validation accuracy during training measures agreement with Dynamic World labels on held-out patches, not with human labels, and is not reported as accuracy.</w:t>
      </w:r>
    </w:p>
    <w:p>
      <w:pPr>
        <w:pStyle w:val="Heading2"/>
      </w:pPr>
      <w:r>
        <w:t xml:space="preserve">2.1 Per-class results for the production U-Net</w:t>
      </w:r>
    </w:p>
    <w:tbl>
      <w:tblPr>
        <w:tblW w:w="99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50"/>
        <w:gridCol w:w="1750"/>
        <w:gridCol w:w="1750"/>
        <w:gridCol w:w="1750"/>
      </w:tblGrid>
      <w:tr>
        <w:trPr>
          <w:tblHeader/>
        </w:trPr>
        <w:tc>
          <w:tcPr>
            <w:tcW w:w="2900" w:type="dxa"/>
            <w:shd w:val="clear" w:color="auto" w:fill="E2E8F0"/>
          </w:tcPr>
          <w:p>
            <w:r>
              <w:t xml:space="preserve">Class</w:t>
            </w:r>
          </w:p>
        </w:tc>
        <w:tc>
          <w:tcPr>
            <w:tcW w:w="1750" w:type="dxa"/>
            <w:shd w:val="clear" w:color="auto" w:fill="E2E8F0"/>
          </w:tcPr>
          <w:p>
            <w:r>
              <w:t xml:space="preserve">Precision</w:t>
            </w:r>
          </w:p>
        </w:tc>
        <w:tc>
          <w:tcPr>
            <w:tcW w:w="1750" w:type="dxa"/>
            <w:shd w:val="clear" w:color="auto" w:fill="E2E8F0"/>
          </w:tcPr>
          <w:p>
            <w:r>
              <w:t xml:space="preserve">Recall</w:t>
            </w:r>
          </w:p>
        </w:tc>
        <w:tc>
          <w:tcPr>
            <w:tcW w:w="1750" w:type="dxa"/>
            <w:shd w:val="clear" w:color="auto" w:fill="E2E8F0"/>
          </w:tcPr>
          <w:p>
            <w:r>
              <w:t xml:space="preserve">F1</w:t>
            </w:r>
          </w:p>
        </w:tc>
        <w:tc>
          <w:tcPr>
            <w:tcW w:w="1750" w:type="dxa"/>
            <w:shd w:val="clear" w:color="auto" w:fill="E2E8F0"/>
          </w:tcPr>
          <w:p>
            <w:r>
              <w:t xml:space="preserve">Test points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t xml:space="preserve">Vegetation</w:t>
            </w:r>
          </w:p>
        </w:tc>
        <w:tc>
          <w:tcPr>
            <w:tcW w:w="1750" w:type="dxa"/>
          </w:tcPr>
          <w:p>
            <w:r>
              <w:t xml:space="preserve">0.79</w:t>
            </w:r>
          </w:p>
        </w:tc>
        <w:tc>
          <w:tcPr>
            <w:tcW w:w="1750" w:type="dxa"/>
          </w:tcPr>
          <w:p>
            <w:r>
              <w:t xml:space="preserve">0.88</w:t>
            </w:r>
          </w:p>
        </w:tc>
        <w:tc>
          <w:tcPr>
            <w:tcW w:w="1750" w:type="dxa"/>
          </w:tcPr>
          <w:p>
            <w:r>
              <w:t xml:space="preserve">0.83</w:t>
            </w:r>
          </w:p>
        </w:tc>
        <w:tc>
          <w:tcPr>
            <w:tcW w:w="1750" w:type="dxa"/>
          </w:tcPr>
          <w:p>
            <w:r>
              <w:t xml:space="preserve">104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t xml:space="preserve">Built-up</w:t>
            </w:r>
          </w:p>
        </w:tc>
        <w:tc>
          <w:tcPr>
            <w:tcW w:w="1750" w:type="dxa"/>
          </w:tcPr>
          <w:p>
            <w:r>
              <w:t xml:space="preserve">0.88</w:t>
            </w:r>
          </w:p>
        </w:tc>
        <w:tc>
          <w:tcPr>
            <w:tcW w:w="1750" w:type="dxa"/>
          </w:tcPr>
          <w:p>
            <w:r>
              <w:t xml:space="preserve">0.80</w:t>
            </w:r>
          </w:p>
        </w:tc>
        <w:tc>
          <w:tcPr>
            <w:tcW w:w="1750" w:type="dxa"/>
          </w:tcPr>
          <w:p>
            <w:r>
              <w:t xml:space="preserve">0.84</w:t>
            </w:r>
          </w:p>
        </w:tc>
        <w:tc>
          <w:tcPr>
            <w:tcW w:w="1750" w:type="dxa"/>
          </w:tcPr>
          <w:p>
            <w:r>
              <w:t xml:space="preserve">160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t xml:space="preserve">Water</w:t>
            </w:r>
          </w:p>
        </w:tc>
        <w:tc>
          <w:tcPr>
            <w:tcW w:w="1750" w:type="dxa"/>
          </w:tcPr>
          <w:p>
            <w:r>
              <w:t xml:space="preserve">0.63</w:t>
            </w:r>
          </w:p>
        </w:tc>
        <w:tc>
          <w:tcPr>
            <w:tcW w:w="1750" w:type="dxa"/>
          </w:tcPr>
          <w:p>
            <w:r>
              <w:t xml:space="preserve">0.81</w:t>
            </w:r>
          </w:p>
        </w:tc>
        <w:tc>
          <w:tcPr>
            <w:tcW w:w="1750" w:type="dxa"/>
          </w:tcPr>
          <w:p>
            <w:r>
              <w:t xml:space="preserve">0.71</w:t>
            </w:r>
          </w:p>
        </w:tc>
        <w:tc>
          <w:tcPr>
            <w:tcW w:w="1750" w:type="dxa"/>
          </w:tcPr>
          <w:p>
            <w:r>
              <w:t xml:space="preserve">21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t xml:space="preserve">Bare</w:t>
            </w:r>
          </w:p>
        </w:tc>
        <w:tc>
          <w:tcPr>
            <w:tcW w:w="1750" w:type="dxa"/>
          </w:tcPr>
          <w:p>
            <w:r>
              <w:t xml:space="preserve">0.56</w:t>
            </w:r>
          </w:p>
        </w:tc>
        <w:tc>
          <w:tcPr>
            <w:tcW w:w="1750" w:type="dxa"/>
          </w:tcPr>
          <w:p>
            <w:r>
              <w:t xml:space="preserve">0.45</w:t>
            </w:r>
          </w:p>
        </w:tc>
        <w:tc>
          <w:tcPr>
            <w:tcW w:w="1750" w:type="dxa"/>
          </w:tcPr>
          <w:p>
            <w:r>
              <w:t xml:space="preserve">0.50</w:t>
            </w:r>
          </w:p>
        </w:tc>
        <w:tc>
          <w:tcPr>
            <w:tcW w:w="1750" w:type="dxa"/>
          </w:tcPr>
          <w:p>
            <w:r>
              <w:t xml:space="preserve">11</w:t>
            </w:r>
          </w:p>
        </w:tc>
      </w:tr>
    </w:tbl>
    <w:p/>
    <w:tbl>
      <w:tblPr>
        <w:tblW w:w="99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750"/>
        <w:gridCol w:w="1750"/>
        <w:gridCol w:w="1750"/>
        <w:gridCol w:w="1750"/>
      </w:tblGrid>
      <w:tr>
        <w:trPr>
          <w:tblHeader/>
        </w:trPr>
        <w:tc>
          <w:tcPr>
            <w:tcW w:w="2900" w:type="dxa"/>
            <w:shd w:val="clear" w:color="auto" w:fill="E2E8F0"/>
          </w:tcPr>
          <w:p>
            <w:r>
              <w:t xml:space="preserve">True class \ predicted</w:t>
            </w:r>
          </w:p>
        </w:tc>
        <w:tc>
          <w:tcPr>
            <w:tcW w:w="1750" w:type="dxa"/>
            <w:shd w:val="clear" w:color="auto" w:fill="E2E8F0"/>
          </w:tcPr>
          <w:p>
            <w:r>
              <w:t xml:space="preserve">Vegetation</w:t>
            </w:r>
          </w:p>
        </w:tc>
        <w:tc>
          <w:tcPr>
            <w:tcW w:w="1750" w:type="dxa"/>
            <w:shd w:val="clear" w:color="auto" w:fill="E2E8F0"/>
          </w:tcPr>
          <w:p>
            <w:r>
              <w:t xml:space="preserve">Built-up</w:t>
            </w:r>
          </w:p>
        </w:tc>
        <w:tc>
          <w:tcPr>
            <w:tcW w:w="1750" w:type="dxa"/>
            <w:shd w:val="clear" w:color="auto" w:fill="E2E8F0"/>
          </w:tcPr>
          <w:p>
            <w:r>
              <w:t xml:space="preserve">Water</w:t>
            </w:r>
          </w:p>
        </w:tc>
        <w:tc>
          <w:tcPr>
            <w:tcW w:w="1750" w:type="dxa"/>
            <w:shd w:val="clear" w:color="auto" w:fill="E2E8F0"/>
          </w:tcPr>
          <w:p>
            <w:r>
              <w:t xml:space="preserve">Bare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t xml:space="preserve">Vegetation</w:t>
            </w:r>
          </w:p>
        </w:tc>
        <w:tc>
          <w:tcPr>
            <w:tcW w:w="1750" w:type="dxa"/>
          </w:tcPr>
          <w:p>
            <w:r>
              <w:t xml:space="preserve">91</w:t>
            </w:r>
          </w:p>
        </w:tc>
        <w:tc>
          <w:tcPr>
            <w:tcW w:w="1750" w:type="dxa"/>
          </w:tcPr>
          <w:p>
            <w:r>
              <w:t xml:space="preserve">10</w:t>
            </w:r>
          </w:p>
        </w:tc>
        <w:tc>
          <w:tcPr>
            <w:tcW w:w="1750" w:type="dxa"/>
          </w:tcPr>
          <w:p>
            <w:r>
              <w:t xml:space="preserve">3</w:t>
            </w:r>
          </w:p>
        </w:tc>
        <w:tc>
          <w:tcPr>
            <w:tcW w:w="1750" w:type="dxa"/>
          </w:tcPr>
          <w:p>
            <w:r>
              <w:t xml:space="preserve">0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t xml:space="preserve">Built-up</w:t>
            </w:r>
          </w:p>
        </w:tc>
        <w:tc>
          <w:tcPr>
            <w:tcW w:w="1750" w:type="dxa"/>
          </w:tcPr>
          <w:p>
            <w:r>
              <w:t xml:space="preserve">23</w:t>
            </w:r>
          </w:p>
        </w:tc>
        <w:tc>
          <w:tcPr>
            <w:tcW w:w="1750" w:type="dxa"/>
          </w:tcPr>
          <w:p>
            <w:r>
              <w:t xml:space="preserve">128</w:t>
            </w:r>
          </w:p>
        </w:tc>
        <w:tc>
          <w:tcPr>
            <w:tcW w:w="1750" w:type="dxa"/>
          </w:tcPr>
          <w:p>
            <w:r>
              <w:t xml:space="preserve">5</w:t>
            </w:r>
          </w:p>
        </w:tc>
        <w:tc>
          <w:tcPr>
            <w:tcW w:w="1750" w:type="dxa"/>
          </w:tcPr>
          <w:p>
            <w:r>
              <w:t xml:space="preserve">4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t xml:space="preserve">Water</w:t>
            </w:r>
          </w:p>
        </w:tc>
        <w:tc>
          <w:tcPr>
            <w:tcW w:w="1750" w:type="dxa"/>
          </w:tcPr>
          <w:p>
            <w:r>
              <w:t xml:space="preserve">1</w:t>
            </w:r>
          </w:p>
        </w:tc>
        <w:tc>
          <w:tcPr>
            <w:tcW w:w="1750" w:type="dxa"/>
          </w:tcPr>
          <w:p>
            <w:r>
              <w:t xml:space="preserve">3</w:t>
            </w:r>
          </w:p>
        </w:tc>
        <w:tc>
          <w:tcPr>
            <w:tcW w:w="1750" w:type="dxa"/>
          </w:tcPr>
          <w:p>
            <w:r>
              <w:t xml:space="preserve">17</w:t>
            </w:r>
          </w:p>
        </w:tc>
        <w:tc>
          <w:tcPr>
            <w:tcW w:w="1750" w:type="dxa"/>
          </w:tcPr>
          <w:p>
            <w:r>
              <w:t xml:space="preserve">0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t xml:space="preserve">Bare</w:t>
            </w:r>
          </w:p>
        </w:tc>
        <w:tc>
          <w:tcPr>
            <w:tcW w:w="1750" w:type="dxa"/>
          </w:tcPr>
          <w:p>
            <w:r>
              <w:t xml:space="preserve">0</w:t>
            </w:r>
          </w:p>
        </w:tc>
        <w:tc>
          <w:tcPr>
            <w:tcW w:w="1750" w:type="dxa"/>
          </w:tcPr>
          <w:p>
            <w:r>
              <w:t xml:space="preserve">4</w:t>
            </w:r>
          </w:p>
        </w:tc>
        <w:tc>
          <w:tcPr>
            <w:tcW w:w="1750" w:type="dxa"/>
          </w:tcPr>
          <w:p>
            <w:r>
              <w:t xml:space="preserve">2</w:t>
            </w:r>
          </w:p>
        </w:tc>
        <w:tc>
          <w:tcPr>
            <w:tcW w:w="1750" w:type="dxa"/>
          </w:tcPr>
          <w:p>
            <w:r>
              <w:t xml:space="preserve">5</w:t>
            </w:r>
          </w:p>
        </w:tc>
      </w:tr>
    </w:tbl>
    <w:p/>
    <w:p>
      <w:r>
        <w:t xml:space="preserve">The largest error is built-up land read as vegetation (23 of 160 built-up points). It matters downstream because it inflates the greenery pillar.</w:t>
      </w:r>
    </w:p>
    <w:p>
      <w:pPr>
        <w:pStyle w:val="Heading2"/>
      </w:pPr>
      <w:r>
        <w:t xml:space="preserve">2.2 Vegetation against everything else</w:t>
      </w:r>
    </w:p>
    <w:p>
      <w:r>
        <w:t xml:space="preserve">Only the vegetation share of each subzone reaches the priority score, so a classifier's errors among built-up, bare and water do not affect the ranking. This table scores that distinction alone.</w:t>
      </w:r>
    </w:p>
    <w:tbl>
      <w:tblPr>
        <w:tblW w:w="99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500"/>
        <w:gridCol w:w="1300"/>
        <w:gridCol w:w="1600"/>
        <w:gridCol w:w="1500"/>
        <w:gridCol w:w="1400"/>
        <w:gridCol w:w="1600"/>
      </w:tblGrid>
      <w:tr>
        <w:trPr>
          <w:tblHeader/>
        </w:trPr>
        <w:tc>
          <w:tcPr>
            <w:tcW w:w="2500" w:type="dxa"/>
            <w:shd w:val="clear" w:color="auto" w:fill="E2E8F0"/>
          </w:tcPr>
          <w:p>
            <w:r>
              <w:t xml:space="preserve">Model</w:t>
            </w:r>
          </w:p>
        </w:tc>
        <w:tc>
          <w:tcPr>
            <w:tcW w:w="1300" w:type="dxa"/>
            <w:shd w:val="clear" w:color="auto" w:fill="E2E8F0"/>
          </w:tcPr>
          <w:p>
            <w:r>
              <w:t xml:space="preserve">Accuracy</w:t>
            </w:r>
          </w:p>
        </w:tc>
        <w:tc>
          <w:tcPr>
            <w:tcW w:w="1600" w:type="dxa"/>
            <w:shd w:val="clear" w:color="auto" w:fill="E2E8F0"/>
          </w:tcPr>
          <w:p>
            <w:r>
              <w:t xml:space="preserve">Vegetation precision</w:t>
            </w:r>
          </w:p>
        </w:tc>
        <w:tc>
          <w:tcPr>
            <w:tcW w:w="1500" w:type="dxa"/>
            <w:shd w:val="clear" w:color="auto" w:fill="E2E8F0"/>
          </w:tcPr>
          <w:p>
            <w:r>
              <w:t xml:space="preserve">Vegetation recall</w:t>
            </w:r>
          </w:p>
        </w:tc>
        <w:tc>
          <w:tcPr>
            <w:tcW w:w="1400" w:type="dxa"/>
            <w:shd w:val="clear" w:color="auto" w:fill="E2E8F0"/>
          </w:tcPr>
          <w:p>
            <w:r>
              <w:t xml:space="preserve">Vegetation F1</w:t>
            </w:r>
          </w:p>
        </w:tc>
        <w:tc>
          <w:tcPr>
            <w:tcW w:w="1600" w:type="dxa"/>
            <w:shd w:val="clear" w:color="auto" w:fill="E2E8F0"/>
          </w:tcPr>
          <w:p>
            <w:r>
              <w:t xml:space="preserve">Points called vegetation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t xml:space="preserve">U-Net, Dynamic World</w:t>
            </w:r>
          </w:p>
        </w:tc>
        <w:tc>
          <w:tcPr>
            <w:tcW w:w="1300" w:type="dxa"/>
          </w:tcPr>
          <w:p>
            <w:r>
              <w:t xml:space="preserve">87.5%</w:t>
            </w:r>
          </w:p>
        </w:tc>
        <w:tc>
          <w:tcPr>
            <w:tcW w:w="1600" w:type="dxa"/>
          </w:tcPr>
          <w:p>
            <w:r>
              <w:t xml:space="preserve">0.79</w:t>
            </w:r>
          </w:p>
        </w:tc>
        <w:tc>
          <w:tcPr>
            <w:tcW w:w="1500" w:type="dxa"/>
          </w:tcPr>
          <w:p>
            <w:r>
              <w:t xml:space="preserve">0.88</w:t>
            </w:r>
          </w:p>
        </w:tc>
        <w:tc>
          <w:tcPr>
            <w:tcW w:w="1400" w:type="dxa"/>
          </w:tcPr>
          <w:p>
            <w:r>
              <w:t xml:space="preserve">0.83</w:t>
            </w:r>
          </w:p>
        </w:tc>
        <w:tc>
          <w:tcPr>
            <w:tcW w:w="1600" w:type="dxa"/>
          </w:tcPr>
          <w:p>
            <w:r>
              <w:t xml:space="preserve">39%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t xml:space="preserve">Hybrid, Dynamic World</w:t>
            </w:r>
          </w:p>
        </w:tc>
        <w:tc>
          <w:tcPr>
            <w:tcW w:w="1300" w:type="dxa"/>
          </w:tcPr>
          <w:p>
            <w:r>
              <w:t xml:space="preserve">85.8%</w:t>
            </w:r>
          </w:p>
        </w:tc>
        <w:tc>
          <w:tcPr>
            <w:tcW w:w="1600" w:type="dxa"/>
          </w:tcPr>
          <w:p>
            <w:r>
              <w:t xml:space="preserve">0.77</w:t>
            </w:r>
          </w:p>
        </w:tc>
        <w:tc>
          <w:tcPr>
            <w:tcW w:w="1500" w:type="dxa"/>
          </w:tcPr>
          <w:p>
            <w:r>
              <w:t xml:space="preserve">0.86</w:t>
            </w:r>
          </w:p>
        </w:tc>
        <w:tc>
          <w:tcPr>
            <w:tcW w:w="1400" w:type="dxa"/>
          </w:tcPr>
          <w:p>
            <w:r>
              <w:t xml:space="preserve">0.81</w:t>
            </w:r>
          </w:p>
        </w:tc>
        <w:tc>
          <w:tcPr>
            <w:tcW w:w="1600" w:type="dxa"/>
          </w:tcPr>
          <w:p>
            <w:r>
              <w:t xml:space="preserve">39%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t xml:space="preserve">RF, Dynamic World</w:t>
            </w:r>
          </w:p>
        </w:tc>
        <w:tc>
          <w:tcPr>
            <w:tcW w:w="1300" w:type="dxa"/>
          </w:tcPr>
          <w:p>
            <w:r>
              <w:t xml:space="preserve">83.3%</w:t>
            </w:r>
          </w:p>
        </w:tc>
        <w:tc>
          <w:tcPr>
            <w:tcW w:w="1600" w:type="dxa"/>
          </w:tcPr>
          <w:p>
            <w:r>
              <w:t xml:space="preserve">0.73</w:t>
            </w:r>
          </w:p>
        </w:tc>
        <w:tc>
          <w:tcPr>
            <w:tcW w:w="1500" w:type="dxa"/>
          </w:tcPr>
          <w:p>
            <w:r>
              <w:t xml:space="preserve">0.85</w:t>
            </w:r>
          </w:p>
        </w:tc>
        <w:tc>
          <w:tcPr>
            <w:tcW w:w="1400" w:type="dxa"/>
          </w:tcPr>
          <w:p>
            <w:r>
              <w:t xml:space="preserve">0.78</w:t>
            </w:r>
          </w:p>
        </w:tc>
        <w:tc>
          <w:tcPr>
            <w:tcW w:w="1600" w:type="dxa"/>
          </w:tcPr>
          <w:p>
            <w:r>
              <w:t xml:space="preserve">42%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t xml:space="preserve">U-Net, WorldCover</w:t>
            </w:r>
          </w:p>
        </w:tc>
        <w:tc>
          <w:tcPr>
            <w:tcW w:w="1300" w:type="dxa"/>
          </w:tcPr>
          <w:p>
            <w:r>
              <w:t xml:space="preserve">73.6%</w:t>
            </w:r>
          </w:p>
        </w:tc>
        <w:tc>
          <w:tcPr>
            <w:tcW w:w="1600" w:type="dxa"/>
          </w:tcPr>
          <w:p>
            <w:r>
              <w:t xml:space="preserve">0.58</w:t>
            </w:r>
          </w:p>
        </w:tc>
        <w:tc>
          <w:tcPr>
            <w:tcW w:w="1500" w:type="dxa"/>
          </w:tcPr>
          <w:p>
            <w:r>
              <w:t xml:space="preserve">0.93</w:t>
            </w:r>
          </w:p>
        </w:tc>
        <w:tc>
          <w:tcPr>
            <w:tcW w:w="1400" w:type="dxa"/>
          </w:tcPr>
          <w:p>
            <w:r>
              <w:t xml:space="preserve">0.71</w:t>
            </w:r>
          </w:p>
        </w:tc>
        <w:tc>
          <w:tcPr>
            <w:tcW w:w="1600" w:type="dxa"/>
          </w:tcPr>
          <w:p>
            <w:r>
              <w:t xml:space="preserve">57%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t xml:space="preserve">Hybrid, WorldCover</w:t>
            </w:r>
          </w:p>
        </w:tc>
        <w:tc>
          <w:tcPr>
            <w:tcW w:w="1300" w:type="dxa"/>
          </w:tcPr>
          <w:p>
            <w:r>
              <w:t xml:space="preserve">75.7%</w:t>
            </w:r>
          </w:p>
        </w:tc>
        <w:tc>
          <w:tcPr>
            <w:tcW w:w="1600" w:type="dxa"/>
          </w:tcPr>
          <w:p>
            <w:r>
              <w:t xml:space="preserve">0.60</w:t>
            </w:r>
          </w:p>
        </w:tc>
        <w:tc>
          <w:tcPr>
            <w:tcW w:w="1500" w:type="dxa"/>
          </w:tcPr>
          <w:p>
            <w:r>
              <w:t xml:space="preserve">0.92</w:t>
            </w:r>
          </w:p>
        </w:tc>
        <w:tc>
          <w:tcPr>
            <w:tcW w:w="1400" w:type="dxa"/>
          </w:tcPr>
          <w:p>
            <w:r>
              <w:t xml:space="preserve">0.73</w:t>
            </w:r>
          </w:p>
        </w:tc>
        <w:tc>
          <w:tcPr>
            <w:tcW w:w="1600" w:type="dxa"/>
          </w:tcPr>
          <w:p>
            <w:r>
              <w:t xml:space="preserve">54%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t xml:space="preserve">RF, WorldCover</w:t>
            </w:r>
          </w:p>
        </w:tc>
        <w:tc>
          <w:tcPr>
            <w:tcW w:w="1300" w:type="dxa"/>
          </w:tcPr>
          <w:p>
            <w:r>
              <w:t xml:space="preserve">76.6%</w:t>
            </w:r>
          </w:p>
        </w:tc>
        <w:tc>
          <w:tcPr>
            <w:tcW w:w="1600" w:type="dxa"/>
          </w:tcPr>
          <w:p>
            <w:r>
              <w:t xml:space="preserve">0.62</w:t>
            </w:r>
          </w:p>
        </w:tc>
        <w:tc>
          <w:tcPr>
            <w:tcW w:w="1500" w:type="dxa"/>
          </w:tcPr>
          <w:p>
            <w:r>
              <w:t xml:space="preserve">0.87</w:t>
            </w:r>
          </w:p>
        </w:tc>
        <w:tc>
          <w:tcPr>
            <w:tcW w:w="1400" w:type="dxa"/>
          </w:tcPr>
          <w:p>
            <w:r>
              <w:t xml:space="preserve">0.73</w:t>
            </w:r>
          </w:p>
        </w:tc>
        <w:tc>
          <w:tcPr>
            <w:tcW w:w="1600" w:type="dxa"/>
          </w:tcPr>
          <w:p>
            <w:r>
              <w:t xml:space="preserve">50%</w:t>
            </w:r>
          </w:p>
        </w:tc>
      </w:tr>
    </w:tbl>
    <w:p/>
    <w:p>
      <w:r>
        <w:t xml:space="preserve">About 35% of the test points are vegetation. The Dynamic World models call 39% to 42% of points vegetation; the WorldCover models call 50% to 57%, which is why their greenery estimates are much higher.</w:t>
      </w:r>
    </w:p>
    <w:p>
      <w:pPr>
        <w:pStyle w:val="Heading1"/>
      </w:pPr>
      <w:r>
        <w:t xml:space="preserve">3. Label-source evaluation (reference maps)</w:t>
      </w:r>
    </w:p>
    <w:p>
      <w:r>
        <w:t xml:space="preserve">Before retraining, the two candidate label maps were scored directly against the hand labels. This is a map-quality comparison, not a model ablation. Agreement is weighted to Singapore's real class areas (the sample was drawn by WorldCover class), on the 293 points both maps cover, with 95% intervals from resampling within each stratum.</w:t>
      </w:r>
    </w:p>
    <w:tbl>
      <w:tblPr>
        <w:tblW w:w="99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4400"/>
        <w:gridCol w:w="3000"/>
        <w:gridCol w:w="2500"/>
      </w:tblGrid>
      <w:tr>
        <w:trPr>
          <w:tblHeader/>
        </w:trPr>
        <w:tc>
          <w:tcPr>
            <w:tcW w:w="4400" w:type="dxa"/>
            <w:shd w:val="clear" w:color="auto" w:fill="E2E8F0"/>
          </w:tcPr>
          <w:p>
            <w:r>
              <w:t xml:space="preserve">Reference map</w:t>
            </w:r>
          </w:p>
        </w:tc>
        <w:tc>
          <w:tcPr>
            <w:tcW w:w="3000" w:type="dxa"/>
            <w:shd w:val="clear" w:color="auto" w:fill="E2E8F0"/>
          </w:tcPr>
          <w:p>
            <w:r>
              <w:t xml:space="preserve">Agreement with hand labels</w:t>
            </w:r>
          </w:p>
        </w:tc>
        <w:tc>
          <w:tcPr>
            <w:tcW w:w="2500" w:type="dxa"/>
            <w:shd w:val="clear" w:color="auto" w:fill="E2E8F0"/>
          </w:tcPr>
          <w:p>
            <w:r>
              <w:t xml:space="preserve">95% interval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t xml:space="preserve">ESA WorldCover 2021</w:t>
            </w:r>
          </w:p>
        </w:tc>
        <w:tc>
          <w:tcPr>
            <w:tcW w:w="3000" w:type="dxa"/>
          </w:tcPr>
          <w:p>
            <w:r>
              <w:t xml:space="preserve">69.5%</w:t>
            </w:r>
          </w:p>
        </w:tc>
        <w:tc>
          <w:tcPr>
            <w:tcW w:w="2500" w:type="dxa"/>
          </w:tcPr>
          <w:p>
            <w:r>
              <w:t xml:space="preserve">65–74%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t xml:space="preserve">Dynamic World, around 2021</w:t>
            </w:r>
          </w:p>
        </w:tc>
        <w:tc>
          <w:tcPr>
            <w:tcW w:w="3000" w:type="dxa"/>
          </w:tcPr>
          <w:p>
            <w:r>
              <w:t xml:space="preserve">81.9%</w:t>
            </w:r>
          </w:p>
        </w:tc>
        <w:tc>
          <w:tcPr>
            <w:tcW w:w="2500" w:type="dxa"/>
          </w:tcPr>
          <w:p>
            <w:r>
              <w:t xml:space="preserve">77–86%</w:t>
            </w:r>
          </w:p>
        </w:tc>
      </w:tr>
    </w:tbl>
    <w:p/>
    <w:p>
      <w:r>
        <w:t xml:space="preserve">Dynamic World agrees 12.4 points better (interval 8 to 17). The gain is concentrated in built-up land: a separate check found WorldCover labelled only 47% of hand-labelled built-up points correctly, against 78% for Dynamic World. The comparison used a window around 2021; final training uses the fixed window 1 January 2021 to 1 July 2026. Map agreement and model accuracy use different scoring and samples, so each is read within its own comparison.</w:t>
      </w:r>
    </w:p>
    <w:p>
      <w:pPr>
        <w:pStyle w:val="Heading1"/>
      </w:pPr>
      <w:r>
        <w:t xml:space="preserve">4. Ablations and controlled comparisons</w:t>
      </w:r>
    </w:p>
    <w:p>
      <w:r>
        <w:t xml:space="preserve">Each comparison changes one component and scores both versions on the same points. McNemar counts are the points correct only under the second version against only under the first. A non-significant result does not establish equivalence.</w:t>
      </w:r>
    </w:p>
    <w:p>
      <w:pPr>
        <w:pStyle w:val="Heading2"/>
      </w:pPr>
      <w:r>
        <w:t xml:space="preserve">4.1 Training-label source</w:t>
      </w:r>
    </w:p>
    <w:tbl>
      <w:tblPr>
        <w:tblW w:w="99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700"/>
        <w:gridCol w:w="1700"/>
        <w:gridCol w:w="3100"/>
      </w:tblGrid>
      <w:tr>
        <w:trPr>
          <w:tblHeader/>
        </w:trPr>
        <w:tc>
          <w:tcPr>
            <w:tcW w:w="1900" w:type="dxa"/>
            <w:shd w:val="clear" w:color="auto" w:fill="E2E8F0"/>
          </w:tcPr>
          <w:p>
            <w:r>
              <w:t xml:space="preserve">Model</w:t>
            </w:r>
          </w:p>
        </w:tc>
        <w:tc>
          <w:tcPr>
            <w:tcW w:w="1500" w:type="dxa"/>
            <w:shd w:val="clear" w:color="auto" w:fill="E2E8F0"/>
          </w:tcPr>
          <w:p>
            <w:r>
              <w:t xml:space="preserve">WorldCover</w:t>
            </w:r>
          </w:p>
        </w:tc>
        <w:tc>
          <w:tcPr>
            <w:tcW w:w="1700" w:type="dxa"/>
            <w:shd w:val="clear" w:color="auto" w:fill="E2E8F0"/>
          </w:tcPr>
          <w:p>
            <w:r>
              <w:t xml:space="preserve">Dynamic World</w:t>
            </w:r>
          </w:p>
        </w:tc>
        <w:tc>
          <w:tcPr>
            <w:tcW w:w="1700" w:type="dxa"/>
            <w:shd w:val="clear" w:color="auto" w:fill="E2E8F0"/>
          </w:tcPr>
          <w:p>
            <w:r>
              <w:t xml:space="preserve">Change</w:t>
            </w:r>
          </w:p>
        </w:tc>
        <w:tc>
          <w:tcPr>
            <w:tcW w:w="3100" w:type="dxa"/>
            <w:shd w:val="clear" w:color="auto" w:fill="E2E8F0"/>
          </w:tcPr>
          <w:p>
            <w:r>
              <w:t xml:space="preserve">McNemar (counts; p)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t xml:space="preserve">RF</w:t>
            </w:r>
          </w:p>
        </w:tc>
        <w:tc>
          <w:tcPr>
            <w:tcW w:w="1500" w:type="dxa"/>
          </w:tcPr>
          <w:p>
            <w:r>
              <w:t xml:space="preserve">66.9%</w:t>
            </w:r>
          </w:p>
        </w:tc>
        <w:tc>
          <w:tcPr>
            <w:tcW w:w="1700" w:type="dxa"/>
          </w:tcPr>
          <w:p>
            <w:r>
              <w:t xml:space="preserve">73.2%</w:t>
            </w:r>
          </w:p>
        </w:tc>
        <w:tc>
          <w:tcPr>
            <w:tcW w:w="1700" w:type="dxa"/>
          </w:tcPr>
          <w:p>
            <w:r>
              <w:t xml:space="preserve">+6.3 points</w:t>
            </w:r>
          </w:p>
        </w:tc>
        <w:tc>
          <w:tcPr>
            <w:tcW w:w="3100" w:type="dxa"/>
          </w:tcPr>
          <w:p>
            <w:r>
              <w:t xml:space="preserve">28 vs 9; p 0.003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t xml:space="preserve">U-Net</w:t>
            </w:r>
          </w:p>
        </w:tc>
        <w:tc>
          <w:tcPr>
            <w:tcW w:w="1500" w:type="dxa"/>
          </w:tcPr>
          <w:p>
            <w:r>
              <w:t xml:space="preserve">70.3%</w:t>
            </w:r>
          </w:p>
        </w:tc>
        <w:tc>
          <w:tcPr>
            <w:tcW w:w="1700" w:type="dxa"/>
          </w:tcPr>
          <w:p>
            <w:r>
              <w:t xml:space="preserve">81.4%</w:t>
            </w:r>
          </w:p>
        </w:tc>
        <w:tc>
          <w:tcPr>
            <w:tcW w:w="1700" w:type="dxa"/>
          </w:tcPr>
          <w:p>
            <w:r>
              <w:t xml:space="preserve">+11.1 points</w:t>
            </w:r>
          </w:p>
        </w:tc>
        <w:tc>
          <w:tcPr>
            <w:tcW w:w="3100" w:type="dxa"/>
          </w:tcPr>
          <w:p>
            <w:r>
              <w:t xml:space="preserve">48 vs 15; p &lt; 0.001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t xml:space="preserve">Hybrid (50/50)</w:t>
            </w:r>
          </w:p>
        </w:tc>
        <w:tc>
          <w:tcPr>
            <w:tcW w:w="1500" w:type="dxa"/>
          </w:tcPr>
          <w:p>
            <w:r>
              <w:t xml:space="preserve">70.6%</w:t>
            </w:r>
          </w:p>
        </w:tc>
        <w:tc>
          <w:tcPr>
            <w:tcW w:w="1700" w:type="dxa"/>
          </w:tcPr>
          <w:p>
            <w:r>
              <w:t xml:space="preserve">79.1%</w:t>
            </w:r>
          </w:p>
        </w:tc>
        <w:tc>
          <w:tcPr>
            <w:tcW w:w="1700" w:type="dxa"/>
          </w:tcPr>
          <w:p>
            <w:r>
              <w:t xml:space="preserve">+8.5 points</w:t>
            </w:r>
          </w:p>
        </w:tc>
        <w:tc>
          <w:tcPr>
            <w:tcW w:w="3100" w:type="dxa"/>
          </w:tcPr>
          <w:p>
            <w:r>
              <w:t xml:space="preserve">35 vs 10; p &lt; 0.001</w:t>
            </w:r>
          </w:p>
        </w:tc>
      </w:tr>
    </w:tbl>
    <w:p/>
    <w:p>
      <w:r>
        <w:t xml:space="preserve">All three favour Dynamic World significantly. For the U-Net, built-up F1 rose from 0.71 to 0.84 and bare-land F1 from 0.00 to 0.50; the WorldCover U-Net never predicted bare land correctly.</w:t>
      </w:r>
    </w:p>
    <w:p>
      <w:pPr>
        <w:pStyle w:val="Heading2"/>
      </w:pPr>
      <w:r>
        <w:t xml:space="preserve">4.2 Features, post-processing and model components</w:t>
      </w:r>
    </w:p>
    <w:tbl>
      <w:tblPr>
        <w:tblW w:w="99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1700"/>
        <w:gridCol w:w="900"/>
        <w:gridCol w:w="2300"/>
      </w:tblGrid>
      <w:tr>
        <w:trPr>
          <w:tblHeader/>
        </w:trPr>
        <w:tc>
          <w:tcPr>
            <w:tcW w:w="1800" w:type="dxa"/>
            <w:shd w:val="clear" w:color="auto" w:fill="E2E8F0"/>
          </w:tcPr>
          <w:p>
            <w:r>
              <w:t xml:space="preserve">Component tested</w:t>
            </w:r>
          </w:p>
        </w:tc>
        <w:tc>
          <w:tcPr>
            <w:tcW w:w="3200" w:type="dxa"/>
            <w:shd w:val="clear" w:color="auto" w:fill="E2E8F0"/>
          </w:tcPr>
          <w:p>
            <w:r>
              <w:t xml:space="preserve">Comparison</w:t>
            </w:r>
          </w:p>
        </w:tc>
        <w:tc>
          <w:tcPr>
            <w:tcW w:w="1700" w:type="dxa"/>
            <w:shd w:val="clear" w:color="auto" w:fill="E2E8F0"/>
          </w:tcPr>
          <w:p>
            <w:r>
              <w:t xml:space="preserve">Accuracy</w:t>
            </w:r>
          </w:p>
        </w:tc>
        <w:tc>
          <w:tcPr>
            <w:tcW w:w="900" w:type="dxa"/>
            <w:shd w:val="clear" w:color="auto" w:fill="E2E8F0"/>
          </w:tcPr>
          <w:p>
            <w:r>
              <w:t xml:space="preserve">p</w:t>
            </w:r>
          </w:p>
        </w:tc>
        <w:tc>
          <w:tcPr>
            <w:tcW w:w="2300" w:type="dxa"/>
            <w:shd w:val="clear" w:color="auto" w:fill="E2E8F0"/>
          </w:tcPr>
          <w:p>
            <w:r>
              <w:t xml:space="preserve">Conclusion</w:t>
            </w:r>
          </w:p>
        </w:tc>
      </w:tr>
      <w:tr>
        <w:trPr>
          <w:cantSplit/>
        </w:trPr>
        <w:tc>
          <w:tcPr>
            <w:tcW w:w="1800" w:type="dxa"/>
          </w:tcPr>
          <w:p>
            <w:r>
              <w:t xml:space="preserve">Texture features</w:t>
            </w:r>
          </w:p>
        </w:tc>
        <w:tc>
          <w:tcPr>
            <w:tcW w:w="3200" w:type="dxa"/>
          </w:tcPr>
          <w:p>
            <w:r>
              <w:t xml:space="preserve">RF vs RF + 3 × 3 mean and standard deviation of NDVI, NDBI, NDWI</w:t>
            </w:r>
          </w:p>
        </w:tc>
        <w:tc>
          <w:tcPr>
            <w:tcW w:w="1700" w:type="dxa"/>
          </w:tcPr>
          <w:p>
            <w:r>
              <w:t xml:space="preserve">73.2% vs 73.2%</w:t>
            </w:r>
          </w:p>
        </w:tc>
        <w:tc>
          <w:tcPr>
            <w:tcW w:w="900" w:type="dxa"/>
          </w:tcPr>
          <w:p>
            <w:r>
              <w:t xml:space="preserve">1.00</w:t>
            </w:r>
          </w:p>
        </w:tc>
        <w:tc>
          <w:tcPr>
            <w:tcW w:w="2300" w:type="dxa"/>
          </w:tcPr>
          <w:p>
            <w:r>
              <w:t xml:space="preserve">No detected improvement.</w:t>
            </w:r>
          </w:p>
        </w:tc>
      </w:tr>
      <w:tr>
        <w:trPr>
          <w:cantSplit/>
        </w:trPr>
        <w:tc>
          <w:tcPr>
            <w:tcW w:w="1800" w:type="dxa"/>
          </w:tcPr>
          <w:p>
            <w:r>
              <w:t xml:space="preserve">RF smoothing</w:t>
            </w:r>
          </w:p>
        </w:tc>
        <w:tc>
          <w:tcPr>
            <w:tcW w:w="3200" w:type="dxa"/>
          </w:tcPr>
          <w:p>
            <w:r>
              <w:t xml:space="preserve">RF vs RF with 3 × 3 majority smoothing (30 m), window fixed in advance</w:t>
            </w:r>
          </w:p>
        </w:tc>
        <w:tc>
          <w:tcPr>
            <w:tcW w:w="1700" w:type="dxa"/>
          </w:tcPr>
          <w:p>
            <w:r>
              <w:t xml:space="preserve">73.2% vs 75.6%</w:t>
            </w:r>
          </w:p>
        </w:tc>
        <w:tc>
          <w:tcPr>
            <w:tcW w:w="900" w:type="dxa"/>
          </w:tcPr>
          <w:p>
            <w:r>
              <w:t xml:space="preserve">0.14</w:t>
            </w:r>
          </w:p>
        </w:tc>
        <w:tc>
          <w:tcPr>
            <w:tcW w:w="2300" w:type="dxa"/>
          </w:tcPr>
          <w:p>
            <w:r>
              <w:t xml:space="preserve">+2.4 points, not significant.</w:t>
            </w:r>
          </w:p>
        </w:tc>
      </w:tr>
      <w:tr>
        <w:trPr>
          <w:cantSplit/>
        </w:trPr>
        <w:tc>
          <w:tcPr>
            <w:tcW w:w="1800" w:type="dxa"/>
          </w:tcPr>
          <w:p>
            <w:r>
              <w:t xml:space="preserve">RF in the hybrid</w:t>
            </w:r>
          </w:p>
        </w:tc>
        <w:tc>
          <w:tcPr>
            <w:tcW w:w="3200" w:type="dxa"/>
          </w:tcPr>
          <w:p>
            <w:r>
              <w:t xml:space="preserve">Hybrid vs U-Net alone</w:t>
            </w:r>
          </w:p>
        </w:tc>
        <w:tc>
          <w:tcPr>
            <w:tcW w:w="1700" w:type="dxa"/>
          </w:tcPr>
          <w:p>
            <w:r>
              <w:t xml:space="preserve">79.1% vs 81.4%</w:t>
            </w:r>
          </w:p>
        </w:tc>
        <w:tc>
          <w:tcPr>
            <w:tcW w:w="900" w:type="dxa"/>
          </w:tcPr>
          <w:p>
            <w:r>
              <w:t xml:space="preserve">0.23</w:t>
            </w:r>
          </w:p>
        </w:tc>
        <w:tc>
          <w:tcPr>
            <w:tcW w:w="2300" w:type="dxa"/>
          </w:tcPr>
          <w:p>
            <w:r>
              <w:t xml:space="preserve">No demonstrated benefit from adding RF.</w:t>
            </w:r>
          </w:p>
        </w:tc>
      </w:tr>
      <w:tr>
        <w:trPr>
          <w:cantSplit/>
        </w:trPr>
        <w:tc>
          <w:tcPr>
            <w:tcW w:w="1800" w:type="dxa"/>
          </w:tcPr>
          <w:p>
            <w:r>
              <w:t xml:space="preserve">Smoothing in the hybrid</w:t>
            </w:r>
          </w:p>
        </w:tc>
        <w:tc>
          <w:tcPr>
            <w:tcW w:w="3200" w:type="dxa"/>
          </w:tcPr>
          <w:p>
            <w:r>
              <w:t xml:space="preserve">Hybrid with raw RF vs with smoothed RF</w:t>
            </w:r>
          </w:p>
        </w:tc>
        <w:tc>
          <w:tcPr>
            <w:tcW w:w="1700" w:type="dxa"/>
          </w:tcPr>
          <w:p>
            <w:r>
              <w:t xml:space="preserve">79.1% vs 78.7%</w:t>
            </w:r>
          </w:p>
        </w:tc>
        <w:tc>
          <w:tcPr>
            <w:tcW w:w="900" w:type="dxa"/>
          </w:tcPr>
          <w:p>
            <w:r>
              <w:t xml:space="preserve">1.00</w:t>
            </w:r>
          </w:p>
        </w:tc>
        <w:tc>
          <w:tcPr>
            <w:tcW w:w="2300" w:type="dxa"/>
          </w:tcPr>
          <w:p>
            <w:r>
              <w:t xml:space="preserve">No significant difference.</w:t>
            </w:r>
          </w:p>
        </w:tc>
      </w:tr>
    </w:tbl>
    <w:p/>
    <w:p>
      <w:r>
        <w:t xml:space="preserve">No U-Net architecture ablation or input-band removal experiment was run.</w:t>
      </w:r>
    </w:p>
    <w:p>
      <w:pPr>
        <w:pStyle w:val="Heading1"/>
      </w:pPr>
      <w:r>
        <w:t xml:space="preserve">5. Decision impact</w:t>
      </w:r>
    </w:p>
    <w:p>
      <w:r>
        <w:t xml:space="preserve">The priority score was rebuilt with the greenery pillar taken from each classifier's map, everything else fixed, and compared with the production score (U-Net, Dynamic World).</w:t>
      </w:r>
    </w:p>
    <w:tbl>
      <w:tblPr>
        <w:tblW w:w="99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700"/>
        <w:gridCol w:w="2000"/>
        <w:gridCol w:w="2400"/>
        <w:gridCol w:w="1800"/>
      </w:tblGrid>
      <w:tr>
        <w:trPr>
          <w:tblHeader/>
        </w:trPr>
        <w:tc>
          <w:tcPr>
            <w:tcW w:w="3700" w:type="dxa"/>
            <w:shd w:val="clear" w:color="auto" w:fill="E2E8F0"/>
          </w:tcPr>
          <w:p>
            <w:r>
              <w:t xml:space="preserve">Greenery source</w:t>
            </w:r>
          </w:p>
        </w:tc>
        <w:tc>
          <w:tcPr>
            <w:tcW w:w="2000" w:type="dxa"/>
            <w:shd w:val="clear" w:color="auto" w:fill="E2E8F0"/>
          </w:tcPr>
          <w:p>
            <w:r>
              <w:t xml:space="preserve">Top-20 subzones changed</w:t>
            </w:r>
          </w:p>
        </w:tc>
        <w:tc>
          <w:tcPr>
            <w:tcW w:w="2400" w:type="dxa"/>
            <w:shd w:val="clear" w:color="auto" w:fill="E2E8F0"/>
          </w:tcPr>
          <w:p>
            <w:r>
              <w:t xml:space="preserve">Rank correlation with production</w:t>
            </w:r>
          </w:p>
        </w:tc>
        <w:tc>
          <w:tcPr>
            <w:tcW w:w="1800" w:type="dxa"/>
            <w:shd w:val="clear" w:color="auto" w:fill="E2E8F0"/>
          </w:tcPr>
          <w:p>
            <w:r>
              <w:t xml:space="preserve">Mean greenery share</w:t>
            </w:r>
          </w:p>
        </w:tc>
      </w:tr>
      <w:tr>
        <w:trPr>
          <w:cantSplit/>
        </w:trPr>
        <w:tc>
          <w:tcPr>
            <w:tcW w:w="3700" w:type="dxa"/>
          </w:tcPr>
          <w:p>
            <w:r>
              <w:t xml:space="preserve">U-Net, Dynamic World (production)</w:t>
            </w:r>
          </w:p>
        </w:tc>
        <w:tc>
          <w:tcPr>
            <w:tcW w:w="20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1.000</w:t>
            </w:r>
          </w:p>
        </w:tc>
        <w:tc>
          <w:tcPr>
            <w:tcW w:w="1800" w:type="dxa"/>
          </w:tcPr>
          <w:p>
            <w:r>
              <w:t xml:space="preserve">12.2%</w:t>
            </w:r>
          </w:p>
        </w:tc>
      </w:tr>
      <w:tr>
        <w:trPr>
          <w:cantSplit/>
        </w:trPr>
        <w:tc>
          <w:tcPr>
            <w:tcW w:w="3700" w:type="dxa"/>
          </w:tcPr>
          <w:p>
            <w:r>
              <w:t xml:space="preserve">Hybrid, Dynamic World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1.000</w:t>
            </w:r>
          </w:p>
        </w:tc>
        <w:tc>
          <w:tcPr>
            <w:tcW w:w="1800" w:type="dxa"/>
          </w:tcPr>
          <w:p>
            <w:r>
              <w:t xml:space="preserve">12.8%</w:t>
            </w:r>
          </w:p>
        </w:tc>
      </w:tr>
      <w:tr>
        <w:trPr>
          <w:cantSplit/>
        </w:trPr>
        <w:tc>
          <w:tcPr>
            <w:tcW w:w="3700" w:type="dxa"/>
          </w:tcPr>
          <w:p>
            <w:r>
              <w:t xml:space="preserve">RF, Dynamic World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0.988</w:t>
            </w:r>
          </w:p>
        </w:tc>
        <w:tc>
          <w:tcPr>
            <w:tcW w:w="1800" w:type="dxa"/>
          </w:tcPr>
          <w:p>
            <w:r>
              <w:t xml:space="preserve">18.1%</w:t>
            </w:r>
          </w:p>
        </w:tc>
      </w:tr>
      <w:tr>
        <w:trPr>
          <w:cantSplit/>
        </w:trPr>
        <w:tc>
          <w:tcPr>
            <w:tcW w:w="3700" w:type="dxa"/>
          </w:tcPr>
          <w:p>
            <w:r>
              <w:t xml:space="preserve">U-Net, WorldCover</w:t>
            </w:r>
          </w:p>
        </w:tc>
        <w:tc>
          <w:tcPr>
            <w:tcW w:w="20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0.964</w:t>
            </w:r>
          </w:p>
        </w:tc>
        <w:tc>
          <w:tcPr>
            <w:tcW w:w="1800" w:type="dxa"/>
          </w:tcPr>
          <w:p>
            <w:r>
              <w:t xml:space="preserve">28.7%</w:t>
            </w:r>
          </w:p>
        </w:tc>
      </w:tr>
      <w:tr>
        <w:trPr>
          <w:cantSplit/>
        </w:trPr>
        <w:tc>
          <w:tcPr>
            <w:tcW w:w="3700" w:type="dxa"/>
          </w:tcPr>
          <w:p>
            <w:r>
              <w:t xml:space="preserve">Hybrid, WorldCover</w:t>
            </w:r>
          </w:p>
        </w:tc>
        <w:tc>
          <w:tcPr>
            <w:tcW w:w="20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0.965</w:t>
            </w:r>
          </w:p>
        </w:tc>
        <w:tc>
          <w:tcPr>
            <w:tcW w:w="1800" w:type="dxa"/>
          </w:tcPr>
          <w:p>
            <w:r>
              <w:t xml:space="preserve">28.1%</w:t>
            </w:r>
          </w:p>
        </w:tc>
      </w:tr>
      <w:tr>
        <w:trPr>
          <w:cantSplit/>
        </w:trPr>
        <w:tc>
          <w:tcPr>
            <w:tcW w:w="3700" w:type="dxa"/>
          </w:tcPr>
          <w:p>
            <w:r>
              <w:t xml:space="preserve">RF, WorldCover</w:t>
            </w:r>
          </w:p>
        </w:tc>
        <w:tc>
          <w:tcPr>
            <w:tcW w:w="20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0.966</w:t>
            </w:r>
          </w:p>
        </w:tc>
        <w:tc>
          <w:tcPr>
            <w:tcW w:w="1800" w:type="dxa"/>
          </w:tcPr>
          <w:p>
            <w:r>
              <w:t xml:space="preserve">27.6%</w:t>
            </w:r>
          </w:p>
        </w:tc>
      </w:tr>
      <w:tr>
        <w:trPr>
          <w:cantSplit/>
        </w:trPr>
        <w:tc>
          <w:tcPr>
            <w:tcW w:w="3700" w:type="dxa"/>
          </w:tcPr>
          <w:p>
            <w:r>
              <w:t xml:space="preserve">NDVI threshold (no classifier)</w:t>
            </w:r>
          </w:p>
        </w:tc>
        <w:tc>
          <w:tcPr>
            <w:tcW w:w="20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t xml:space="preserve">0.945</w:t>
            </w:r>
          </w:p>
        </w:tc>
        <w:tc>
          <w:tcPr>
            <w:tcW w:w="1800" w:type="dxa"/>
          </w:tcPr>
          <w:p>
            <w:r>
              <w:t xml:space="preserve">39.8%</w:t>
            </w:r>
          </w:p>
        </w:tc>
      </w:tr>
    </w:tbl>
    <w:p/>
    <w:p>
      <w:r>
        <w:t xml:space="preserve">Every alternative changes fewer top-20 subzones than measurement noise alone (10.9). The replacement of the classifier by a simple NDVI threshold has the largest effect; among classifiers, every WorldCover-trained map moves 6 subzones and more than doubles the mean greenery share, while the choice among Dynamic World models moves at most 4. Two properties of the score limit the impact: only the vegetation share reaches it, and a constant over- or under-estimate of greenery is removed by the score's rescaling, so only errors that vary between subzones can move a rank.</w:t>
      </w:r>
    </w:p>
    <w:p>
      <w:pPr>
        <w:pStyle w:val="Heading1"/>
      </w:pPr>
      <w:r>
        <w:t xml:space="preserve">6. Exploratory sensitivity analyses</w:t>
      </w:r>
    </w:p>
    <w:p>
      <w:r>
        <w:t xml:space="preserve">These sweeps compared settings on the same test points, so choosing the best-scoring setting would tune the method to the test set. They show sensitivity only.</w:t>
      </w:r>
    </w:p>
    <w:tbl>
      <w:tblPr>
        <w:tblW w:w="99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6400"/>
        <w:gridCol w:w="3500"/>
      </w:tblGrid>
      <w:tr>
        <w:trPr>
          <w:tblHeader/>
        </w:trPr>
        <w:tc>
          <w:tcPr>
            <w:tcW w:w="6400" w:type="dxa"/>
            <w:shd w:val="clear" w:color="auto" w:fill="E2E8F0"/>
          </w:tcPr>
          <w:p>
            <w:r>
              <w:t xml:space="preserve">RF majority-smoothing window</w:t>
            </w:r>
          </w:p>
        </w:tc>
        <w:tc>
          <w:tcPr>
            <w:tcW w:w="3500" w:type="dxa"/>
            <w:shd w:val="clear" w:color="auto" w:fill="E2E8F0"/>
          </w:tcPr>
          <w:p>
            <w:r>
              <w:t xml:space="preserve">Accuracy</w:t>
            </w:r>
          </w:p>
        </w:tc>
      </w:tr>
      <w:tr>
        <w:trPr>
          <w:cantSplit/>
        </w:trPr>
        <w:tc>
          <w:tcPr>
            <w:tcW w:w="6400" w:type="dxa"/>
          </w:tcPr>
          <w:p>
            <w:r>
              <w:t xml:space="preserve">3 × 3 (fixed in advance)</w:t>
            </w:r>
          </w:p>
        </w:tc>
        <w:tc>
          <w:tcPr>
            <w:tcW w:w="3500" w:type="dxa"/>
          </w:tcPr>
          <w:p>
            <w:r>
              <w:t xml:space="preserve">75.6%</w:t>
            </w:r>
          </w:p>
        </w:tc>
      </w:tr>
      <w:tr>
        <w:trPr>
          <w:cantSplit/>
        </w:trPr>
        <w:tc>
          <w:tcPr>
            <w:tcW w:w="6400" w:type="dxa"/>
          </w:tcPr>
          <w:p>
            <w:r>
              <w:t xml:space="preserve">5 × 5</w:t>
            </w:r>
          </w:p>
        </w:tc>
        <w:tc>
          <w:tcPr>
            <w:tcW w:w="3500" w:type="dxa"/>
          </w:tcPr>
          <w:p>
            <w:r>
              <w:t xml:space="preserve">75.9%</w:t>
            </w:r>
          </w:p>
        </w:tc>
      </w:tr>
      <w:tr>
        <w:trPr>
          <w:cantSplit/>
        </w:trPr>
        <w:tc>
          <w:tcPr>
            <w:tcW w:w="6400" w:type="dxa"/>
          </w:tcPr>
          <w:p>
            <w:r>
              <w:t xml:space="preserve">7 × 7</w:t>
            </w:r>
          </w:p>
        </w:tc>
        <w:tc>
          <w:tcPr>
            <w:tcW w:w="3500" w:type="dxa"/>
          </w:tcPr>
          <w:p>
            <w:r>
              <w:t xml:space="preserve">79.9%</w:t>
            </w:r>
          </w:p>
        </w:tc>
      </w:tr>
      <w:tr>
        <w:trPr>
          <w:cantSplit/>
        </w:trPr>
        <w:tc>
          <w:tcPr>
            <w:tcW w:w="6400" w:type="dxa"/>
          </w:tcPr>
          <w:p>
            <w:r>
              <w:t xml:space="preserve">11 × 11</w:t>
            </w:r>
          </w:p>
        </w:tc>
        <w:tc>
          <w:tcPr>
            <w:tcW w:w="3500" w:type="dxa"/>
          </w:tcPr>
          <w:p>
            <w:r>
              <w:t xml:space="preserve">80.3%</w:t>
            </w:r>
          </w:p>
        </w:tc>
      </w:tr>
      <w:tr>
        <w:trPr>
          <w:cantSplit/>
        </w:trPr>
        <w:tc>
          <w:tcPr>
            <w:tcW w:w="6400" w:type="dxa"/>
          </w:tcPr>
          <w:p>
            <w:r>
              <w:t xml:space="preserve">21 × 21 (about 210 m)</w:t>
            </w:r>
          </w:p>
        </w:tc>
        <w:tc>
          <w:tcPr>
            <w:tcW w:w="3500" w:type="dxa"/>
          </w:tcPr>
          <w:p>
            <w:r>
              <w:t xml:space="preserve">81.6%</w:t>
            </w:r>
          </w:p>
        </w:tc>
      </w:tr>
    </w:tbl>
    <w:p/>
    <w:p>
      <w:r>
        <w:t xml:space="preserve">Larger windows remove speckle but also spatial detail; their higher test accuracy does not justify choosing them.</w:t>
      </w:r>
    </w:p>
    <w:tbl>
      <w:tblPr>
        <w:tblW w:w="99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6400"/>
        <w:gridCol w:w="3500"/>
      </w:tblGrid>
      <w:tr>
        <w:trPr>
          <w:tblHeader/>
        </w:trPr>
        <w:tc>
          <w:tcPr>
            <w:tcW w:w="6400" w:type="dxa"/>
            <w:shd w:val="clear" w:color="auto" w:fill="E2E8F0"/>
          </w:tcPr>
          <w:p>
            <w:r>
              <w:t xml:space="preserve">U-Net weight in the hybrid</w:t>
            </w:r>
          </w:p>
        </w:tc>
        <w:tc>
          <w:tcPr>
            <w:tcW w:w="3500" w:type="dxa"/>
            <w:shd w:val="clear" w:color="auto" w:fill="E2E8F0"/>
          </w:tcPr>
          <w:p>
            <w:r>
              <w:t xml:space="preserve">Accuracy</w:t>
            </w:r>
          </w:p>
        </w:tc>
      </w:tr>
      <w:tr>
        <w:trPr>
          <w:cantSplit/>
        </w:trPr>
        <w:tc>
          <w:tcPr>
            <w:tcW w:w="6400" w:type="dxa"/>
          </w:tcPr>
          <w:p>
            <w:r>
              <w:t xml:space="preserve">0.5 (standard hybrid)</w:t>
            </w:r>
          </w:p>
        </w:tc>
        <w:tc>
          <w:tcPr>
            <w:tcW w:w="3500" w:type="dxa"/>
          </w:tcPr>
          <w:p>
            <w:r>
              <w:t xml:space="preserve">79.1%</w:t>
            </w:r>
          </w:p>
        </w:tc>
      </w:tr>
      <w:tr>
        <w:trPr>
          <w:cantSplit/>
        </w:trPr>
        <w:tc>
          <w:tcPr>
            <w:tcW w:w="6400" w:type="dxa"/>
          </w:tcPr>
          <w:p>
            <w:r>
              <w:t xml:space="preserve">0.6</w:t>
            </w:r>
          </w:p>
        </w:tc>
        <w:tc>
          <w:tcPr>
            <w:tcW w:w="3500" w:type="dxa"/>
          </w:tcPr>
          <w:p>
            <w:r>
              <w:t xml:space="preserve">79.7%</w:t>
            </w:r>
          </w:p>
        </w:tc>
      </w:tr>
      <w:tr>
        <w:trPr>
          <w:cantSplit/>
        </w:trPr>
        <w:tc>
          <w:tcPr>
            <w:tcW w:w="6400" w:type="dxa"/>
          </w:tcPr>
          <w:p>
            <w:r>
              <w:t xml:space="preserve">0.7</w:t>
            </w:r>
          </w:p>
        </w:tc>
        <w:tc>
          <w:tcPr>
            <w:tcW w:w="3500" w:type="dxa"/>
          </w:tcPr>
          <w:p>
            <w:r>
              <w:t xml:space="preserve">80.1%</w:t>
            </w:r>
          </w:p>
        </w:tc>
      </w:tr>
      <w:tr>
        <w:trPr>
          <w:cantSplit/>
        </w:trPr>
        <w:tc>
          <w:tcPr>
            <w:tcW w:w="6400" w:type="dxa"/>
          </w:tcPr>
          <w:p>
            <w:r>
              <w:t xml:space="preserve">0.8</w:t>
            </w:r>
          </w:p>
        </w:tc>
        <w:tc>
          <w:tcPr>
            <w:tcW w:w="3500" w:type="dxa"/>
          </w:tcPr>
          <w:p>
            <w:r>
              <w:t xml:space="preserve">80.1%</w:t>
            </w:r>
          </w:p>
        </w:tc>
      </w:tr>
      <w:tr>
        <w:trPr>
          <w:cantSplit/>
        </w:trPr>
        <w:tc>
          <w:tcPr>
            <w:tcW w:w="6400" w:type="dxa"/>
          </w:tcPr>
          <w:p>
            <w:r>
              <w:t xml:space="preserve">0.9</w:t>
            </w:r>
          </w:p>
        </w:tc>
        <w:tc>
          <w:tcPr>
            <w:tcW w:w="3500" w:type="dxa"/>
          </w:tcPr>
          <w:p>
            <w:r>
              <w:t xml:space="preserve">81.1%</w:t>
            </w:r>
          </w:p>
        </w:tc>
      </w:tr>
      <w:tr>
        <w:trPr>
          <w:cantSplit/>
        </w:trPr>
        <w:tc>
          <w:tcPr>
            <w:tcW w:w="6400" w:type="dxa"/>
          </w:tcPr>
          <w:p>
            <w:r>
              <w:t xml:space="preserve">1.0 (U-Net alone)</w:t>
            </w:r>
          </w:p>
        </w:tc>
        <w:tc>
          <w:tcPr>
            <w:tcW w:w="3500" w:type="dxa"/>
          </w:tcPr>
          <w:p>
            <w:r>
              <w:t xml:space="preserve">81.4%</w:t>
            </w:r>
          </w:p>
        </w:tc>
      </w:tr>
    </w:tbl>
    <w:p/>
    <w:p>
      <w:r>
        <w:t xml:space="preserve">Accuracy rises or holds as the U-Net weight increases, so the sweep shows no advantage in adding RF on these points; it does not show RF could never help on other data.</w:t>
      </w:r>
    </w:p>
    <w:p>
      <w:pPr>
        <w:pStyle w:val="Heading1"/>
      </w:pPr>
      <w:r>
        <w:t xml:space="preserve">7. Limitations</w:t>
      </w:r>
    </w:p>
    <w:p>
      <w:r>
        <w:rPr>
          <w:b/>
        </w:rPr>
        <w:t xml:space="preserve">Small classes. </w:t>
      </w:r>
      <w:r>
        <w:t xml:space="preserve">Bare land (11 points) and water (21 points) are reported but too small to rank methods on.</w:t>
      </w:r>
    </w:p>
    <w:p>
      <w:r>
        <w:rPr>
          <w:b/>
        </w:rPr>
        <w:t xml:space="preserve">Unweighted accuracy. </w:t>
      </w:r>
      <w:r>
        <w:t xml:space="preserve">The test sample over-represents vegetation, so model accuracies are not island-wide map accuracies.</w:t>
      </w:r>
    </w:p>
    <w:p>
      <w:r>
        <w:rPr>
          <w:b/>
        </w:rPr>
        <w:t xml:space="preserve">Model-made labels. </w:t>
      </w:r>
      <w:r>
        <w:t xml:space="preserve">Dynamic World is itself a model output, so models trained on it can inherit its blind spots, and the hand labels and Dynamic World may share biases on mixed pixels.</w:t>
      </w:r>
    </w:p>
    <w:p>
      <w:r>
        <w:rPr>
          <w:b/>
        </w:rPr>
        <w:t xml:space="preserve">Repeated testing. </w:t>
      </w:r>
      <w:r>
        <w:t xml:space="preserve">Many comparisons reuse the same 300 points with no multiple-comparison adjustment, so p-values near 0.05 are read with caution.</w:t>
      </w:r>
    </w:p>
    <w:p>
      <w:pPr>
        <w:pStyle w:val="Heading1"/>
      </w:pPr>
      <w:r>
        <w:t xml:space="preserve">Sources</w:t>
      </w:r>
    </w:p>
    <w:p>
      <w:r>
        <w:t xml:space="preserve">Training: scripts/train_landcover_rf.py, notebooks/colab_training/train_unet.ipynb, scripts/build_landcover_hybrid.py. Evaluation: scripts/log_landcover_evaluation_mlflow.py (MLflow batch landcover_eval_final_2026-09-29c), scripts/evaluate_landcover_supplementary.py. Decision impact: scripts/build_landcover_swap_comparison.py and scripts/evaluate_landcover_supplementary.py (data/processed/landcover_label_source_swap.csv). Map comparison: scripts/compare_worldcover_dynamicworld.py and docs/dynamic_world_vs_worldcover_2026-09-27.md. Test points: data/interim/validation_sample/validation_sample_300_labeled.csv.</w:t>
      </w:r>
    </w:p>
    <w:sectPr w:rsidR="007606BC">
      <w:pgSz w:w="11906" w:h="16838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6BC"/>
    <w:rsid w:val="005B3AFC"/>
    <w:rsid w:val="007606BC"/>
    <w:rsid w:val="00D9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514C7"/>
  <w15:docId w15:val="{66D76960-5DC6-4545-898F-CD73969C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SG" w:eastAsia="zh-CN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/>
      <w:outlineLvl w:val="0"/>
    </w:pPr>
    <w:rPr>
      <w:b/>
      <w:color w:val="17365D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color w:val="17365D"/>
      <w:sz w:val="38"/>
    </w:rPr>
  </w:style>
  <w:style w:type="paragraph" w:styleId="Subtitle">
    <w:name w:val="Subtitle"/>
    <w:uiPriority w:val="11"/>
    <w:qFormat/>
    <w:rPr>
      <w:color w:val="64748B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/>
      <w:outlineLvl w:val="1"/>
    </w:pPr>
    <w:rPr>
      <w:b/>
      <w:color w:val="17365D"/>
      <w:sz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60"/>
      <w:outlineLvl w:val="2"/>
    </w:pPr>
    <w:rPr>
      <w:b/>
      <w:color w:val="334155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933</Words>
  <Characters>5322</Characters>
  <Application>Microsoft Office Word</Application>
  <DocSecurity>0</DocSecurity>
  <Lines>44</Lines>
  <Paragraphs>12</Paragraphs>
  <ScaleCrop>false</ScaleCrop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Land-cover Model Evaluation and Ablation Tests</dc:title>
  <cp:lastModifiedBy>Kin Xing</cp:lastModifiedBy>
  <cp:revision>2</cp:revision>
  <dcterms:created xsi:type="dcterms:W3CDTF">2026-09-29T17:28:00Z</dcterms:created>
  <dcterms:modified xsi:type="dcterms:W3CDTF">2026-09-29T17:30:00Z</dcterms:modified>
</cp:coreProperties>
</file>