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Scenario Modelling Evaluation and Ablation Tests</w:t>
      </w:r>
    </w:p>
    <w:p>
      <w:pPr>
        <w:pStyle w:val="Subtitle"/>
      </w:pPr>
      <w:r>
        <w:t xml:space="preserve">XGBoost and CNN heat models and the greening what-if | 5 October 2026</w:t>
      </w:r>
    </w:p>
    <w:p>
      <w:pPr>
        <w:pStyle w:val="Heading1"/>
      </w:pPr>
      <w:r>
        <w:t xml:space="preserve">Summary</w:t>
      </w:r>
    </w:p>
    <w:p>
      <w:r>
        <w:t xml:space="preserve">Scenario modelling answers "what if this place were greener?". A subzone-level XGBoost model predicts surface temperature from land cover, spectral indices and population; a 10 m CNN predicts temperature patch by patch. The greening what-if edits a subzone's or a patch's inputs and reads off the change in predicted temperature. No greening intervention was observed before and after, so the what-if cannot be checked against truth; the models' accuracy and the what-if's consistency can.</w:t>
      </w:r>
    </w:p>
    <w:p>
      <w:r>
        <w:t xml:space="preserve">XGBoost is accurate at subzone level (R² 0.73 on held-out subzones, 0.76 with whole planning areas held out), but only slightly better than a linear regression on the same inputs (0.75). Its what-if is consistent: adding 15 percentage points of vegetation cools 89% of subzones by a median 0.98 °C, close to the cross-subzone association (1.20 °C), and only because the edit moves the spectral indices with the land cover. The CNN follows the spatial pattern of temperature (correlation 0.61) but exaggerates its contrasts by about 47%, so its held-out error (5.08 °C) is worse than predicting the average. The two models agree on the direction of the greening effect for 17 of the top-20 subzones but not on its size. What-if results are indicative directions, not forecasts.</w:t>
      </w:r>
    </w:p>
    <w:p>
      <w:pPr>
        <w:pStyle w:val="Heading1"/>
      </w:pPr>
      <w:r>
        <w:t xml:space="preserve">1. Setup</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400"/>
        <w:gridCol w:w="7500"/>
      </w:tblGrid>
      <w:tr>
        <w:trPr>
          <w:tblHeader/>
        </w:trPr>
        <w:tc>
          <w:tcPr>
            <w:tcW w:w="2400" w:type="dxa"/>
            <w:shd w:val="clear" w:color="auto" w:fill="E2E8F0"/>
          </w:tcPr>
          <w:p>
            <w:r>
              <w:t xml:space="preserve">Item</w:t>
            </w:r>
          </w:p>
        </w:tc>
        <w:tc>
          <w:tcPr>
            <w:tcW w:w="7500" w:type="dxa"/>
            <w:shd w:val="clear" w:color="auto" w:fill="E2E8F0"/>
          </w:tcPr>
          <w:p>
            <w:r>
              <w:t xml:space="preserve">Setting</w:t>
            </w:r>
          </w:p>
        </w:tc>
      </w:tr>
      <w:tr>
        <w:trPr>
          <w:cantSplit/>
        </w:trPr>
        <w:tc>
          <w:tcPr>
            <w:tcW w:w="2400" w:type="dxa"/>
          </w:tcPr>
          <w:p>
            <w:r>
              <w:t xml:space="preserve">XGBoost</w:t>
            </w:r>
          </w:p>
        </w:tc>
        <w:tc>
          <w:tcPr>
            <w:tcW w:w="7500" w:type="dxa"/>
          </w:tcPr>
          <w:p>
            <w:r>
              <w:t xml:space="preserve">One row per subzone (332). Ten features: land-cover fractions (vegetation, built-up, bare, water), NDVI and NDBI in two seasons, resident count and elderly share. Target: Landsat 30 m surface temperature. Production model trained on 265 subzones, tested on 67.</w:t>
            </w:r>
          </w:p>
        </w:tc>
      </w:tr>
      <w:tr>
        <w:trPr>
          <w:cantSplit/>
        </w:trPr>
        <w:tc>
          <w:tcPr>
            <w:tcW w:w="2400" w:type="dxa"/>
          </w:tcPr>
          <w:p>
            <w:r>
              <w:t xml:space="preserve">CNN</w:t>
            </w:r>
          </w:p>
        </w:tc>
        <w:tc>
          <w:tcPr>
            <w:tcW w:w="7500" w:type="dxa"/>
          </w:tcPr>
          <w:p>
            <w:r>
              <w:t xml:space="preserve">160 of 1,066 patches (128 × 128 pixels at 10 m) held out for validation (85/15 split by patch). Inputs: Sentinel-2 bands, spectral indices and the production land-cover map. Target: the 10 m bicubic temperature layer.</w:t>
            </w:r>
          </w:p>
        </w:tc>
      </w:tr>
      <w:tr>
        <w:trPr>
          <w:cantSplit/>
        </w:trPr>
        <w:tc>
          <w:tcPr>
            <w:tcW w:w="2400" w:type="dxa"/>
          </w:tcPr>
          <w:p>
            <w:r>
              <w:t xml:space="preserve">Subzone what-if (XGBoost)</w:t>
            </w:r>
          </w:p>
        </w:tc>
        <w:tc>
          <w:tcPr>
            <w:tcW w:w="7500" w:type="dxa"/>
          </w:tcPr>
          <w:p>
            <w:r>
              <w:t xml:space="preserve">Vegetation share raised by a set amount, taken proportionally from built-up and bare land; water unchanged. NDVI and NDBI move with the land cover by regressions fitted across real subzones (R² 0.81 to 0.84).</w:t>
            </w:r>
          </w:p>
        </w:tc>
      </w:tr>
      <w:tr>
        <w:trPr>
          <w:cantSplit/>
        </w:trPr>
        <w:tc>
          <w:tcPr>
            <w:tcW w:w="2400" w:type="dxa"/>
          </w:tcPr>
          <w:p>
            <w:r>
              <w:t xml:space="preserve">Patch what-if (CNN)</w:t>
            </w:r>
          </w:p>
        </w:tc>
        <w:tc>
          <w:tcPr>
            <w:tcW w:w="7500" w:type="dxa"/>
          </w:tcPr>
          <w:p>
            <w:r>
              <w:t xml:space="preserve">A 50 m-radius disc around the subzone centre is set to the average vegetation pixel, and the CNN is rerun on the edited patch.</w:t>
            </w:r>
          </w:p>
        </w:tc>
      </w:tr>
      <w:tr>
        <w:trPr>
          <w:cantSplit/>
        </w:trPr>
        <w:tc>
          <w:tcPr>
            <w:tcW w:w="2400" w:type="dxa"/>
          </w:tcPr>
          <w:p>
            <w:r>
              <w:t xml:space="preserve">Validation</w:t>
            </w:r>
          </w:p>
        </w:tc>
        <w:tc>
          <w:tcPr>
            <w:tcW w:w="7500" w:type="dxa"/>
          </w:tcPr>
          <w:p>
            <w:r>
              <w:t xml:space="preserve">Repeated 5-fold cross-validation (25 fits) and spatial cross-validation holding out whole planning areas; baselines: linear regression and predicting the mean.</w:t>
            </w:r>
          </w:p>
        </w:tc>
      </w:tr>
    </w:tbl>
    <w:p/>
    <w:p>
      <w:pPr>
        <w:pStyle w:val="Heading1"/>
      </w:pPr>
      <w:r>
        <w:t xml:space="preserve">2. Evaluation</w:t>
      </w:r>
    </w:p>
    <w:p>
      <w:pPr>
        <w:pStyle w:val="Heading2"/>
      </w:pPr>
      <w:r>
        <w:t xml:space="preserve">2.1 XGBoost accuracy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1700"/>
        <w:gridCol w:w="1200"/>
        <w:gridCol w:w="2400"/>
        <w:gridCol w:w="1300"/>
      </w:tblGrid>
      <w:tr>
        <w:trPr>
          <w:tblHeader/>
        </w:trPr>
        <w:tc>
          <w:tcPr>
            <w:tcW w:w="3300" w:type="dxa"/>
            <w:shd w:val="clear" w:color="auto" w:fill="E2E8F0"/>
          </w:tcPr>
          <w:p>
            <w:r>
              <w:t xml:space="preserve">Model</w:t>
            </w:r>
          </w:p>
        </w:tc>
        <w:tc>
          <w:tcPr>
            <w:tcW w:w="1700" w:type="dxa"/>
            <w:shd w:val="clear" w:color="auto" w:fill="E2E8F0"/>
          </w:tcPr>
          <w:p>
            <w:r>
              <w:t xml:space="preserve">R², random CV</w:t>
            </w:r>
          </w:p>
        </w:tc>
        <w:tc>
          <w:tcPr>
            <w:tcW w:w="1200" w:type="dxa"/>
            <w:shd w:val="clear" w:color="auto" w:fill="E2E8F0"/>
          </w:tcPr>
          <w:p>
            <w:r>
              <w:t xml:space="preserve">RMSE (°C)</w:t>
            </w:r>
          </w:p>
        </w:tc>
        <w:tc>
          <w:tcPr>
            <w:tcW w:w="2400" w:type="dxa"/>
            <w:shd w:val="clear" w:color="auto" w:fill="E2E8F0"/>
          </w:tcPr>
          <w:p>
            <w:r>
              <w:t xml:space="preserve">R², planning areas held out</w:t>
            </w:r>
          </w:p>
        </w:tc>
        <w:tc>
          <w:tcPr>
            <w:tcW w:w="1300" w:type="dxa"/>
            <w:shd w:val="clear" w:color="auto" w:fill="E2E8F0"/>
          </w:tcPr>
          <w:p>
            <w:r>
              <w:t xml:space="preserve">RMSE (°C)</w:t>
            </w:r>
          </w:p>
        </w:tc>
      </w:tr>
      <w:tr>
        <w:trPr>
          <w:cantSplit/>
        </w:trPr>
        <w:tc>
          <w:tcPr>
            <w:tcW w:w="3300" w:type="dxa"/>
          </w:tcPr>
          <w:p>
            <w:r>
              <w:t xml:space="preserve">XGBoost (production settings)</w:t>
            </w:r>
          </w:p>
        </w:tc>
        <w:tc>
          <w:tcPr>
            <w:tcW w:w="1700" w:type="dxa"/>
          </w:tcPr>
          <w:p>
            <w:r>
              <w:t xml:space="preserve">0.78 ± 0.05</w:t>
            </w:r>
          </w:p>
        </w:tc>
        <w:tc>
          <w:tcPr>
            <w:tcW w:w="1200" w:type="dxa"/>
          </w:tcPr>
          <w:p>
            <w:r>
              <w:t xml:space="preserve">1.13</w:t>
            </w:r>
          </w:p>
        </w:tc>
        <w:tc>
          <w:tcPr>
            <w:tcW w:w="2400" w:type="dxa"/>
          </w:tcPr>
          <w:p>
            <w:r>
              <w:t xml:space="preserve">0.76 ± 0.08</w:t>
            </w:r>
          </w:p>
        </w:tc>
        <w:tc>
          <w:tcPr>
            <w:tcW w:w="1300" w:type="dxa"/>
          </w:tcPr>
          <w:p>
            <w:r>
              <w:t xml:space="preserve">1.19</w:t>
            </w:r>
          </w:p>
        </w:tc>
      </w:tr>
      <w:tr>
        <w:trPr>
          <w:cantSplit/>
        </w:trPr>
        <w:tc>
          <w:tcPr>
            <w:tcW w:w="3300" w:type="dxa"/>
          </w:tcPr>
          <w:p>
            <w:r>
              <w:t xml:space="preserve">Linear regression, same ten features</w:t>
            </w:r>
          </w:p>
        </w:tc>
        <w:tc>
          <w:tcPr>
            <w:tcW w:w="1700" w:type="dxa"/>
          </w:tcPr>
          <w:p>
            <w:r>
              <w:t xml:space="preserve">0.76 ± 0.05</w:t>
            </w:r>
          </w:p>
        </w:tc>
        <w:tc>
          <w:tcPr>
            <w:tcW w:w="1200" w:type="dxa"/>
          </w:tcPr>
          <w:p>
            <w:r>
              <w:t xml:space="preserve">1.18</w:t>
            </w:r>
          </w:p>
        </w:tc>
        <w:tc>
          <w:tcPr>
            <w:tcW w:w="2400" w:type="dxa"/>
          </w:tcPr>
          <w:p>
            <w:r>
              <w:t xml:space="preserve">0.75 ± 0.08</w:t>
            </w:r>
          </w:p>
        </w:tc>
        <w:tc>
          <w:tcPr>
            <w:tcW w:w="1300" w:type="dxa"/>
          </w:tcPr>
          <w:p>
            <w:r>
              <w:t xml:space="preserve">1.22</w:t>
            </w:r>
          </w:p>
        </w:tc>
      </w:tr>
      <w:tr>
        <w:trPr>
          <w:cantSplit/>
        </w:trPr>
        <w:tc>
          <w:tcPr>
            <w:tcW w:w="3300" w:type="dxa"/>
          </w:tcPr>
          <w:p>
            <w:r>
              <w:t xml:space="preserve">Linear regression, vegetation share only</w:t>
            </w:r>
          </w:p>
        </w:tc>
        <w:tc>
          <w:tcPr>
            <w:tcW w:w="1700" w:type="dxa"/>
          </w:tcPr>
          <w:p>
            <w:r>
              <w:t xml:space="preserve">0.49 ± 0.07</w:t>
            </w:r>
          </w:p>
        </w:tc>
        <w:tc>
          <w:tcPr>
            <w:tcW w:w="1200" w:type="dxa"/>
          </w:tcPr>
          <w:p>
            <w:r>
              <w:t xml:space="preserve">1.73</w:t>
            </w:r>
          </w:p>
        </w:tc>
        <w:tc>
          <w:tcPr>
            <w:tcW w:w="2400" w:type="dxa"/>
          </w:tcPr>
          <w:p>
            <w:r>
              <w:t xml:space="preserve">0.51 ± 0.07</w:t>
            </w:r>
          </w:p>
        </w:tc>
        <w:tc>
          <w:tcPr>
            <w:tcW w:w="1300" w:type="dxa"/>
          </w:tcPr>
          <w:p>
            <w:r>
              <w:t xml:space="preserve">1.72</w:t>
            </w:r>
          </w:p>
        </w:tc>
      </w:tr>
      <w:tr>
        <w:trPr>
          <w:cantSplit/>
        </w:trPr>
        <w:tc>
          <w:tcPr>
            <w:tcW w:w="3300" w:type="dxa"/>
          </w:tcPr>
          <w:p>
            <w:r>
              <w:t xml:space="preserve">Predict the training mean</w:t>
            </w:r>
          </w:p>
        </w:tc>
        <w:tc>
          <w:tcPr>
            <w:tcW w:w="1700" w:type="dxa"/>
          </w:tcPr>
          <w:p>
            <w:r>
              <w:t xml:space="preserve">-0.02 ± 0.05</w:t>
            </w:r>
          </w:p>
        </w:tc>
        <w:tc>
          <w:tcPr>
            <w:tcW w:w="1200" w:type="dxa"/>
          </w:tcPr>
          <w:p>
            <w:r>
              <w:t xml:space="preserve">2.48</w:t>
            </w:r>
          </w:p>
        </w:tc>
        <w:tc>
          <w:tcPr>
            <w:tcW w:w="2400" w:type="dxa"/>
          </w:tcPr>
          <w:p>
            <w:r>
              <w:t xml:space="preserve">-0.01 ± 0.01</w:t>
            </w:r>
          </w:p>
        </w:tc>
        <w:tc>
          <w:tcPr>
            <w:tcW w:w="1300" w:type="dxa"/>
          </w:tcPr>
          <w:p>
            <w:r>
              <w:t xml:space="preserve">2.48</w:t>
            </w:r>
          </w:p>
        </w:tc>
      </w:tr>
    </w:tbl>
    <w:p/>
    <w:p>
      <w:r>
        <w:t xml:space="preserve">The production model scores R² 0.727 (RMSE 1.21 °C) on its own held-out subzones; cross-validation gives a similar 0.78. Holding out whole planning areas barely lowers it, so the accuracy does not come from neighbouring subzones leaking into the test set. XGBoost halves the error of predicting the mean, but a linear regression on the same features does almost as well (0.76): the relationship is largely linear, and the choice of XGBoost is not what makes the model accurate.</w:t>
      </w:r>
    </w:p>
    <w:p>
      <w:pPr>
        <w:pStyle w:val="Heading2"/>
      </w:pPr>
      <w:r>
        <w:t xml:space="preserve">2.2 CNN accuracy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1200"/>
        <w:gridCol w:w="1100"/>
        <w:gridCol w:w="1300"/>
        <w:gridCol w:w="1500"/>
        <w:gridCol w:w="1500"/>
      </w:tblGrid>
      <w:tr>
        <w:trPr>
          <w:tblHeader/>
        </w:trPr>
        <w:tc>
          <w:tcPr>
            <w:tcW w:w="3300" w:type="dxa"/>
            <w:shd w:val="clear" w:color="auto" w:fill="E2E8F0"/>
          </w:tcPr>
          <w:p>
            <w:r>
              <w:t xml:space="preserve">Model (validation patches)</w:t>
            </w:r>
          </w:p>
        </w:tc>
        <w:tc>
          <w:tcPr>
            <w:tcW w:w="1200" w:type="dxa"/>
            <w:shd w:val="clear" w:color="auto" w:fill="E2E8F0"/>
          </w:tcPr>
          <w:p>
            <w:r>
              <w:t xml:space="preserve">RMSE (°C)</w:t>
            </w:r>
          </w:p>
        </w:tc>
        <w:tc>
          <w:tcPr>
            <w:tcW w:w="1100" w:type="dxa"/>
            <w:shd w:val="clear" w:color="auto" w:fill="E2E8F0"/>
          </w:tcPr>
          <w:p>
            <w:r>
              <w:t xml:space="preserve">R²</w:t>
            </w:r>
          </w:p>
        </w:tc>
        <w:tc>
          <w:tcPr>
            <w:tcW w:w="1300" w:type="dxa"/>
            <w:shd w:val="clear" w:color="auto" w:fill="E2E8F0"/>
          </w:tcPr>
          <w:p>
            <w:r>
              <w:t xml:space="preserve">Bias (°C)</w:t>
            </w:r>
          </w:p>
        </w:tc>
        <w:tc>
          <w:tcPr>
            <w:tcW w:w="1500" w:type="dxa"/>
            <w:shd w:val="clear" w:color="auto" w:fill="E2E8F0"/>
          </w:tcPr>
          <w:p>
            <w:r>
              <w:t xml:space="preserve">Correlation</w:t>
            </w:r>
          </w:p>
        </w:tc>
        <w:tc>
          <w:tcPr>
            <w:tcW w:w="1500" w:type="dxa"/>
            <w:shd w:val="clear" w:color="auto" w:fill="E2E8F0"/>
          </w:tcPr>
          <w:p>
            <w:r>
              <w:t xml:space="preserve">Spread ratio</w:t>
            </w:r>
          </w:p>
        </w:tc>
      </w:tr>
      <w:tr>
        <w:trPr>
          <w:cantSplit/>
        </w:trPr>
        <w:tc>
          <w:tcPr>
            <w:tcW w:w="3300" w:type="dxa"/>
          </w:tcPr>
          <w:p>
            <w:r>
              <w:t xml:space="preserve">CNN (production)</w:t>
            </w:r>
          </w:p>
        </w:tc>
        <w:tc>
          <w:tcPr>
            <w:tcW w:w="1200" w:type="dxa"/>
          </w:tcPr>
          <w:p>
            <w:r>
              <w:t xml:space="preserve">5.08</w:t>
            </w:r>
          </w:p>
        </w:tc>
        <w:tc>
          <w:tcPr>
            <w:tcW w:w="1100" w:type="dxa"/>
          </w:tcPr>
          <w:p>
            <w:r>
              <w:t xml:space="preserve">-0.40</w:t>
            </w:r>
          </w:p>
        </w:tc>
        <w:tc>
          <w:tcPr>
            <w:tcW w:w="1300" w:type="dxa"/>
          </w:tcPr>
          <w:p>
            <w:r>
              <w:t xml:space="preserve">-0.65</w:t>
            </w:r>
          </w:p>
        </w:tc>
        <w:tc>
          <w:tcPr>
            <w:tcW w:w="1500" w:type="dxa"/>
          </w:tcPr>
          <w:p>
            <w:r>
              <w:t xml:space="preserve">0.61</w:t>
            </w:r>
          </w:p>
        </w:tc>
        <w:tc>
          <w:tcPr>
            <w:tcW w:w="1500" w:type="dxa"/>
          </w:tcPr>
          <w:p>
            <w:r>
              <w:t xml:space="preserve">1.47</w:t>
            </w:r>
          </w:p>
        </w:tc>
      </w:tr>
      <w:tr>
        <w:trPr>
          <w:cantSplit/>
        </w:trPr>
        <w:tc>
          <w:tcPr>
            <w:tcW w:w="3300" w:type="dxa"/>
          </w:tcPr>
          <w:p>
            <w:r>
              <w:t xml:space="preserve">Per-pixel linear regression, same inputs</w:t>
            </w:r>
          </w:p>
        </w:tc>
        <w:tc>
          <w:tcPr>
            <w:tcW w:w="1200" w:type="dxa"/>
          </w:tcPr>
          <w:p>
            <w:r>
              <w:t xml:space="preserve">2.49</w:t>
            </w:r>
          </w:p>
        </w:tc>
        <w:tc>
          <w:tcPr>
            <w:tcW w:w="1100" w:type="dxa"/>
          </w:tcPr>
          <w:p>
            <w:r>
              <w:t xml:space="preserve">0.66</w:t>
            </w:r>
          </w:p>
        </w:tc>
        <w:tc>
          <w:tcPr>
            <w:tcW w:w="1300" w:type="dxa"/>
          </w:tcPr>
          <w:p>
            <w:r>
              <w:t xml:space="preserve">-0.02</w:t>
            </w:r>
          </w:p>
        </w:tc>
        <w:tc>
          <w:tcPr>
            <w:tcW w:w="1500" w:type="dxa"/>
          </w:tcPr>
          <w:p>
            <w:r>
              <w:t xml:space="preserve">0.81</w:t>
            </w:r>
          </w:p>
        </w:tc>
        <w:tc>
          <w:tcPr>
            <w:tcW w:w="1500" w:type="dxa"/>
          </w:tcPr>
          <w:p>
            <w:r>
              <w:t xml:space="preserve">0.84</w:t>
            </w:r>
          </w:p>
        </w:tc>
      </w:tr>
      <w:tr>
        <w:trPr>
          <w:cantSplit/>
        </w:trPr>
        <w:tc>
          <w:tcPr>
            <w:tcW w:w="3300" w:type="dxa"/>
          </w:tcPr>
          <w:p>
            <w:r>
              <w:t xml:space="preserve">Predict the training mean</w:t>
            </w:r>
          </w:p>
        </w:tc>
        <w:tc>
          <w:tcPr>
            <w:tcW w:w="1200" w:type="dxa"/>
          </w:tcPr>
          <w:p>
            <w:r>
              <w:t xml:space="preserve">4.29</w:t>
            </w:r>
          </w:p>
        </w:tc>
        <w:tc>
          <w:tcPr>
            <w:tcW w:w="1100" w:type="dxa"/>
          </w:tcPr>
          <w:p>
            <w:r>
              <w:t xml:space="preserve">0.00</w:t>
            </w:r>
          </w:p>
        </w:tc>
        <w:tc>
          <w:tcPr>
            <w:tcW w:w="1300" w:type="dxa"/>
          </w:tcPr>
          <w:p>
            <w:r>
              <w:t xml:space="preserve">-0.02</w:t>
            </w:r>
          </w:p>
        </w:tc>
        <w:tc>
          <w:tcPr>
            <w:tcW w:w="1500" w:type="dxa"/>
          </w:tcPr>
          <w:p>
            <w:r>
              <w:t xml:space="preserve">—</w:t>
            </w:r>
          </w:p>
        </w:tc>
        <w:tc>
          <w:tcPr>
            <w:tcW w:w="1500" w:type="dxa"/>
          </w:tcPr>
          <w:p>
            <w:r>
              <w:t xml:space="preserve">0</w:t>
            </w:r>
          </w:p>
        </w:tc>
      </w:tr>
    </w:tbl>
    <w:p/>
    <w:p>
      <w:r>
        <w:t xml:space="preserve">On 1,036,779 validation pixels the CNN's error (5.08 °C) is larger than the spread of the temperatures themselves (4.29 °C), so it does worse than predicting the average everywhere. Its overall bias is small (-0.65 °C) and it does follow the pattern (correlation 0.61), but its predictions vary 1.47 times as much as the real temperatures: hot areas come out too hot and cool areas too cool. A per-pixel linear regression on the same inputs is far more accurate (2.49 °C). The CNN's temperature values should not be read as estimates, and its what-if effects are likely to be too large.</w:t>
      </w:r>
    </w:p>
    <w:p>
      <w:pPr>
        <w:pStyle w:val="Heading2"/>
      </w:pPr>
      <w:r>
        <w:t xml:space="preserve">2.3 Consistency of the greening what-if</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800"/>
        <w:gridCol w:w="1700"/>
        <w:gridCol w:w="1800"/>
        <w:gridCol w:w="2400"/>
        <w:gridCol w:w="2200"/>
      </w:tblGrid>
      <w:tr>
        <w:trPr>
          <w:tblHeader/>
        </w:trPr>
        <w:tc>
          <w:tcPr>
            <w:tcW w:w="1800" w:type="dxa"/>
            <w:shd w:val="clear" w:color="auto" w:fill="E2E8F0"/>
          </w:tcPr>
          <w:p>
            <w:r>
              <w:t xml:space="preserve">Vegetation added</w:t>
            </w:r>
          </w:p>
        </w:tc>
        <w:tc>
          <w:tcPr>
            <w:tcW w:w="1700" w:type="dxa"/>
            <w:shd w:val="clear" w:color="auto" w:fill="E2E8F0"/>
          </w:tcPr>
          <w:p>
            <w:r>
              <w:t xml:space="preserve">Subzones that cool</w:t>
            </w:r>
          </w:p>
        </w:tc>
        <w:tc>
          <w:tcPr>
            <w:tcW w:w="1800" w:type="dxa"/>
            <w:shd w:val="clear" w:color="auto" w:fill="E2E8F0"/>
          </w:tcPr>
          <w:p>
            <w:r>
              <w:t xml:space="preserve">Median change (°C)</w:t>
            </w:r>
          </w:p>
        </w:tc>
        <w:tc>
          <w:tcPr>
            <w:tcW w:w="2400" w:type="dxa"/>
            <w:shd w:val="clear" w:color="auto" w:fill="E2E8F0"/>
          </w:tcPr>
          <w:p>
            <w:r>
              <w:t xml:space="preserve">10th–90th percentile (°C)</w:t>
            </w:r>
          </w:p>
        </w:tc>
        <w:tc>
          <w:tcPr>
            <w:tcW w:w="2200" w:type="dxa"/>
            <w:shd w:val="clear" w:color="auto" w:fill="E2E8F0"/>
          </w:tcPr>
          <w:p>
            <w:r>
              <w:t xml:space="preserve">Edited subzones outside the real range</w:t>
            </w:r>
          </w:p>
        </w:tc>
      </w:tr>
      <w:tr>
        <w:trPr>
          <w:cantSplit/>
        </w:trPr>
        <w:tc>
          <w:tcPr>
            <w:tcW w:w="1800" w:type="dxa"/>
          </w:tcPr>
          <w:p>
            <w:r>
              <w:t xml:space="preserve">+5 points</w:t>
            </w:r>
          </w:p>
        </w:tc>
        <w:tc>
          <w:tcPr>
            <w:tcW w:w="1700" w:type="dxa"/>
          </w:tcPr>
          <w:p>
            <w:r>
              <w:t xml:space="preserve">70%</w:t>
            </w:r>
          </w:p>
        </w:tc>
        <w:tc>
          <w:tcPr>
            <w:tcW w:w="1800" w:type="dxa"/>
          </w:tcPr>
          <w:p>
            <w:r>
              <w:t xml:space="preserve">-0.28</w:t>
            </w:r>
          </w:p>
        </w:tc>
        <w:tc>
          <w:tcPr>
            <w:tcW w:w="2400" w:type="dxa"/>
          </w:tcPr>
          <w:p>
            <w:r>
              <w:t xml:space="preserve">-1.09 to +0.56</w:t>
            </w:r>
          </w:p>
        </w:tc>
        <w:tc>
          <w:tcPr>
            <w:tcW w:w="2200" w:type="dxa"/>
          </w:tcPr>
          <w:p>
            <w:r>
              <w:t xml:space="preserve">5.4%</w:t>
            </w:r>
          </w:p>
        </w:tc>
      </w:tr>
      <w:tr>
        <w:trPr>
          <w:cantSplit/>
        </w:trPr>
        <w:tc>
          <w:tcPr>
            <w:tcW w:w="1800" w:type="dxa"/>
          </w:tcPr>
          <w:p>
            <w:r>
              <w:t xml:space="preserve">+10 points</w:t>
            </w:r>
          </w:p>
        </w:tc>
        <w:tc>
          <w:tcPr>
            <w:tcW w:w="1700" w:type="dxa"/>
          </w:tcPr>
          <w:p>
            <w:r>
              <w:t xml:space="preserve">83%</w:t>
            </w:r>
          </w:p>
        </w:tc>
        <w:tc>
          <w:tcPr>
            <w:tcW w:w="1800" w:type="dxa"/>
          </w:tcPr>
          <w:p>
            <w:r>
              <w:t xml:space="preserve">-0.74</w:t>
            </w:r>
          </w:p>
        </w:tc>
        <w:tc>
          <w:tcPr>
            <w:tcW w:w="2400" w:type="dxa"/>
          </w:tcPr>
          <w:p>
            <w:r>
              <w:t xml:space="preserve">-1.79 to +0.32</w:t>
            </w:r>
          </w:p>
        </w:tc>
        <w:tc>
          <w:tcPr>
            <w:tcW w:w="2200" w:type="dxa"/>
          </w:tcPr>
          <w:p>
            <w:r>
              <w:t xml:space="preserve">4.8%</w:t>
            </w:r>
          </w:p>
        </w:tc>
      </w:tr>
      <w:tr>
        <w:trPr>
          <w:cantSplit/>
        </w:trPr>
        <w:tc>
          <w:tcPr>
            <w:tcW w:w="1800" w:type="dxa"/>
          </w:tcPr>
          <w:p>
            <w:r>
              <w:t xml:space="preserve">+15 points</w:t>
            </w:r>
          </w:p>
        </w:tc>
        <w:tc>
          <w:tcPr>
            <w:tcW w:w="1700" w:type="dxa"/>
          </w:tcPr>
          <w:p>
            <w:r>
              <w:t xml:space="preserve">89%</w:t>
            </w:r>
          </w:p>
        </w:tc>
        <w:tc>
          <w:tcPr>
            <w:tcW w:w="1800" w:type="dxa"/>
          </w:tcPr>
          <w:p>
            <w:r>
              <w:t xml:space="preserve">-0.98</w:t>
            </w:r>
          </w:p>
        </w:tc>
        <w:tc>
          <w:tcPr>
            <w:tcW w:w="2400" w:type="dxa"/>
          </w:tcPr>
          <w:p>
            <w:r>
              <w:t xml:space="preserve">-2.35 to +0.02</w:t>
            </w:r>
          </w:p>
        </w:tc>
        <w:tc>
          <w:tcPr>
            <w:tcW w:w="2200" w:type="dxa"/>
          </w:tcPr>
          <w:p>
            <w:r>
              <w:t xml:space="preserve">4.8%</w:t>
            </w:r>
          </w:p>
        </w:tc>
      </w:tr>
      <w:tr>
        <w:trPr>
          <w:cantSplit/>
        </w:trPr>
        <w:tc>
          <w:tcPr>
            <w:tcW w:w="1800" w:type="dxa"/>
          </w:tcPr>
          <w:p>
            <w:r>
              <w:t xml:space="preserve">+20 points</w:t>
            </w:r>
          </w:p>
        </w:tc>
        <w:tc>
          <w:tcPr>
            <w:tcW w:w="1700" w:type="dxa"/>
          </w:tcPr>
          <w:p>
            <w:r>
              <w:t xml:space="preserve">95%</w:t>
            </w:r>
          </w:p>
        </w:tc>
        <w:tc>
          <w:tcPr>
            <w:tcW w:w="1800" w:type="dxa"/>
          </w:tcPr>
          <w:p>
            <w:r>
              <w:t xml:space="preserve">-1.52</w:t>
            </w:r>
          </w:p>
        </w:tc>
        <w:tc>
          <w:tcPr>
            <w:tcW w:w="2400" w:type="dxa"/>
          </w:tcPr>
          <w:p>
            <w:r>
              <w:t xml:space="preserve">-2.83 to -0.33</w:t>
            </w:r>
          </w:p>
        </w:tc>
        <w:tc>
          <w:tcPr>
            <w:tcW w:w="2200" w:type="dxa"/>
          </w:tcPr>
          <w:p>
            <w:r>
              <w:t xml:space="preserve">4.5%</w:t>
            </w:r>
          </w:p>
        </w:tc>
      </w:tr>
      <w:tr>
        <w:trPr>
          <w:cantSplit/>
        </w:trPr>
        <w:tc>
          <w:tcPr>
            <w:tcW w:w="1800" w:type="dxa"/>
          </w:tcPr>
          <w:p>
            <w:r>
              <w:t xml:space="preserve">+30 points</w:t>
            </w:r>
          </w:p>
        </w:tc>
        <w:tc>
          <w:tcPr>
            <w:tcW w:w="1700" w:type="dxa"/>
          </w:tcPr>
          <w:p>
            <w:r>
              <w:t xml:space="preserve">98%</w:t>
            </w:r>
          </w:p>
        </w:tc>
        <w:tc>
          <w:tcPr>
            <w:tcW w:w="1800" w:type="dxa"/>
          </w:tcPr>
          <w:p>
            <w:r>
              <w:t xml:space="preserve">-2.05</w:t>
            </w:r>
          </w:p>
        </w:tc>
        <w:tc>
          <w:tcPr>
            <w:tcW w:w="2400" w:type="dxa"/>
          </w:tcPr>
          <w:p>
            <w:r>
              <w:t xml:space="preserve">-3.52 to -0.92</w:t>
            </w:r>
          </w:p>
        </w:tc>
        <w:tc>
          <w:tcPr>
            <w:tcW w:w="2200" w:type="dxa"/>
          </w:tcPr>
          <w:p>
            <w:r>
              <w:t xml:space="preserve">4.2%</w:t>
            </w:r>
          </w:p>
        </w:tc>
      </w:tr>
    </w:tbl>
    <w:p/>
    <w:p>
      <w:r>
        <w:t xml:space="preserve">Cooling grows steadily with the amount of greening and becomes nearly universal. At +15 points the median cooling (0.98 °C) is close to what the cross-subzone association implies (1.20 °C, from -8.0 °C per unit of vegetation share). An edited subzone counts as outside the real range when its features are further from the average subzone than 95% of real subzones are; edited subzones fall outside about as often as real ones do (4.8% against 5.1%), so the edits stay within the data the model learned from.</w:t>
      </w:r>
    </w:p>
    <w:p>
      <w:pPr>
        <w:pStyle w:val="Heading2"/>
      </w:pPr>
      <w:r>
        <w:t xml:space="preserve">2.4 Agreement between the two models</w:t>
      </w:r>
    </w:p>
    <w:p>
      <w:r>
        <w:t xml:space="preserve">For each of the residents' top-20 subzones, XGBoost predicted the effect of +15 points of vegetation and the CNN the effect of greening a 50 m disc at the subzone centre. They agree on the direction for 17 of 20 (not for China Square, Boon Teck, Chinatown) and for all 3 diagnostic demo subzones. They do not agree on size: the rank correlation of the two estimates is -0.38, and the CNN's effect is the larger in 12 of 20. XGBoost predicts essentially no cooling (above −0.1 °C) for China Square and Chinatown.</w:t>
      </w:r>
    </w:p>
    <w:p>
      <w:pPr>
        <w:pStyle w:val="Heading1"/>
      </w:pPr>
      <w:r>
        <w:t xml:space="preserve">3. Ablations and controlled comparisons</w:t>
      </w:r>
    </w:p>
    <w:p>
      <w:pPr>
        <w:pStyle w:val="Heading2"/>
      </w:pPr>
      <w:r>
        <w:t xml:space="preserve">3.1 How the what-if edit moves the inputs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300"/>
        <w:gridCol w:w="1800"/>
        <w:gridCol w:w="1800"/>
        <w:gridCol w:w="2000"/>
      </w:tblGrid>
      <w:tr>
        <w:trPr>
          <w:tblHeader/>
        </w:trPr>
        <w:tc>
          <w:tcPr>
            <w:tcW w:w="4300" w:type="dxa"/>
            <w:shd w:val="clear" w:color="auto" w:fill="E2E8F0"/>
          </w:tcPr>
          <w:p>
            <w:r>
              <w:t xml:space="preserve">Edit mechanism (+15 points vegetation)</w:t>
            </w:r>
          </w:p>
        </w:tc>
        <w:tc>
          <w:tcPr>
            <w:tcW w:w="1800" w:type="dxa"/>
            <w:shd w:val="clear" w:color="auto" w:fill="E2E8F0"/>
          </w:tcPr>
          <w:p>
            <w:r>
              <w:t xml:space="preserve">Subzones that cool</w:t>
            </w:r>
          </w:p>
        </w:tc>
        <w:tc>
          <w:tcPr>
            <w:tcW w:w="1800" w:type="dxa"/>
            <w:shd w:val="clear" w:color="auto" w:fill="E2E8F0"/>
          </w:tcPr>
          <w:p>
            <w:r>
              <w:t xml:space="preserve">Median change (°C)</w:t>
            </w:r>
          </w:p>
        </w:tc>
        <w:tc>
          <w:tcPr>
            <w:tcW w:w="2000" w:type="dxa"/>
            <w:shd w:val="clear" w:color="auto" w:fill="E2E8F0"/>
          </w:tcPr>
          <w:p>
            <w:r>
              <w:t xml:space="preserve">Edited subzones outside the real range</w:t>
            </w:r>
          </w:p>
        </w:tc>
      </w:tr>
      <w:tr>
        <w:trPr>
          <w:cantSplit/>
        </w:trPr>
        <w:tc>
          <w:tcPr>
            <w:tcW w:w="4300" w:type="dxa"/>
          </w:tcPr>
          <w:p>
            <w:r>
              <w:t xml:space="preserve">Land cover only (indices unchanged)</w:t>
            </w:r>
          </w:p>
        </w:tc>
        <w:tc>
          <w:tcPr>
            <w:tcW w:w="1800" w:type="dxa"/>
          </w:tcPr>
          <w:p>
            <w:r>
              <w:t xml:space="preserve">55%</w:t>
            </w:r>
          </w:p>
        </w:tc>
        <w:tc>
          <w:tcPr>
            <w:tcW w:w="1800" w:type="dxa"/>
          </w:tcPr>
          <w:p>
            <w:r>
              <w:t xml:space="preserve">-0.10</w:t>
            </w:r>
          </w:p>
        </w:tc>
        <w:tc>
          <w:tcPr>
            <w:tcW w:w="2000" w:type="dxa"/>
          </w:tcPr>
          <w:p>
            <w:r>
              <w:t xml:space="preserve">9.0%</w:t>
            </w:r>
          </w:p>
        </w:tc>
      </w:tr>
      <w:tr>
        <w:trPr>
          <w:cantSplit/>
        </w:trPr>
        <w:tc>
          <w:tcPr>
            <w:tcW w:w="4300" w:type="dxa"/>
          </w:tcPr>
          <w:p>
            <w:r>
              <w:t xml:space="preserve">Land cover + NDVI</w:t>
            </w:r>
          </w:p>
        </w:tc>
        <w:tc>
          <w:tcPr>
            <w:tcW w:w="1800" w:type="dxa"/>
          </w:tcPr>
          <w:p>
            <w:r>
              <w:t xml:space="preserve">57%</w:t>
            </w:r>
          </w:p>
        </w:tc>
        <w:tc>
          <w:tcPr>
            <w:tcW w:w="1800" w:type="dxa"/>
          </w:tcPr>
          <w:p>
            <w:r>
              <w:t xml:space="preserve">-0.10</w:t>
            </w:r>
          </w:p>
        </w:tc>
        <w:tc>
          <w:tcPr>
            <w:tcW w:w="2000" w:type="dxa"/>
          </w:tcPr>
          <w:p>
            <w:r>
              <w:t xml:space="preserve">10.8%</w:t>
            </w:r>
          </w:p>
        </w:tc>
      </w:tr>
      <w:tr>
        <w:trPr>
          <w:cantSplit/>
        </w:trPr>
        <w:tc>
          <w:tcPr>
            <w:tcW w:w="4300" w:type="dxa"/>
          </w:tcPr>
          <w:p>
            <w:r>
              <w:t xml:space="preserve">Land cover + NDVI + NDBI (production)</w:t>
            </w:r>
          </w:p>
        </w:tc>
        <w:tc>
          <w:tcPr>
            <w:tcW w:w="1800" w:type="dxa"/>
          </w:tcPr>
          <w:p>
            <w:r>
              <w:t xml:space="preserve">89%</w:t>
            </w:r>
          </w:p>
        </w:tc>
        <w:tc>
          <w:tcPr>
            <w:tcW w:w="1800" w:type="dxa"/>
          </w:tcPr>
          <w:p>
            <w:r>
              <w:t xml:space="preserve">-0.98</w:t>
            </w:r>
          </w:p>
        </w:tc>
        <w:tc>
          <w:tcPr>
            <w:tcW w:w="2000" w:type="dxa"/>
          </w:tcPr>
          <w:p>
            <w:r>
              <w:t xml:space="preserve">4.8%</w:t>
            </w:r>
          </w:p>
        </w:tc>
      </w:tr>
    </w:tbl>
    <w:p/>
    <w:p>
      <w:r>
        <w:t xml:space="preserve">Changing land cover alone cools only 55% of subzones, by a median 0.10 °C, so barely more than half; moving NDVI as well barely helps. Only when NDBI moves too does the effect become consistent (89% cool). The model relies on the spectral indices more than on the land-cover fractions (next table), so an edit that changes the fractions but leaves the indices of the original place describes an unrealistic subzone, which the plausibility check also shows.</w:t>
      </w:r>
    </w:p>
    <w:p>
      <w:pPr>
        <w:pStyle w:val="Heading2"/>
      </w:pPr>
      <w:r>
        <w:t xml:space="preserve">3.2 XGBoost feature groups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500"/>
        <w:gridCol w:w="1300"/>
        <w:gridCol w:w="2300"/>
        <w:gridCol w:w="1800"/>
      </w:tblGrid>
      <w:tr>
        <w:trPr>
          <w:tblHeader/>
        </w:trPr>
        <w:tc>
          <w:tcPr>
            <w:tcW w:w="4500" w:type="dxa"/>
            <w:shd w:val="clear" w:color="auto" w:fill="E2E8F0"/>
          </w:tcPr>
          <w:p>
            <w:r>
              <w:t xml:space="preserve">Features</w:t>
            </w:r>
          </w:p>
        </w:tc>
        <w:tc>
          <w:tcPr>
            <w:tcW w:w="1300" w:type="dxa"/>
            <w:shd w:val="clear" w:color="auto" w:fill="E2E8F0"/>
          </w:tcPr>
          <w:p>
            <w:r>
              <w:t xml:space="preserve">Number</w:t>
            </w:r>
          </w:p>
        </w:tc>
        <w:tc>
          <w:tcPr>
            <w:tcW w:w="2300" w:type="dxa"/>
            <w:shd w:val="clear" w:color="auto" w:fill="E2E8F0"/>
          </w:tcPr>
          <w:p>
            <w:r>
              <w:t xml:space="preserve">R², random CV</w:t>
            </w:r>
          </w:p>
        </w:tc>
        <w:tc>
          <w:tcPr>
            <w:tcW w:w="1800" w:type="dxa"/>
            <w:shd w:val="clear" w:color="auto" w:fill="E2E8F0"/>
          </w:tcPr>
          <w:p>
            <w:r>
              <w:t xml:space="preserve">RMSE (°C)</w:t>
            </w:r>
          </w:p>
        </w:tc>
      </w:tr>
      <w:tr>
        <w:trPr>
          <w:cantSplit/>
        </w:trPr>
        <w:tc>
          <w:tcPr>
            <w:tcW w:w="4500" w:type="dxa"/>
          </w:tcPr>
          <w:p>
            <w:r>
              <w:t xml:space="preserve">All ten (production)</w:t>
            </w:r>
          </w:p>
        </w:tc>
        <w:tc>
          <w:tcPr>
            <w:tcW w:w="1300" w:type="dxa"/>
          </w:tcPr>
          <w:p>
            <w:r>
              <w:t xml:space="preserve">10</w:t>
            </w:r>
          </w:p>
        </w:tc>
        <w:tc>
          <w:tcPr>
            <w:tcW w:w="2300" w:type="dxa"/>
          </w:tcPr>
          <w:p>
            <w:r>
              <w:t xml:space="preserve">0.78 ± 0.05</w:t>
            </w:r>
          </w:p>
        </w:tc>
        <w:tc>
          <w:tcPr>
            <w:tcW w:w="1800" w:type="dxa"/>
          </w:tcPr>
          <w:p>
            <w:r>
              <w:t xml:space="preserve">1.13</w:t>
            </w:r>
          </w:p>
        </w:tc>
      </w:tr>
      <w:tr>
        <w:trPr>
          <w:cantSplit/>
        </w:trPr>
        <w:tc>
          <w:tcPr>
            <w:tcW w:w="4500" w:type="dxa"/>
          </w:tcPr>
          <w:p>
            <w:r>
              <w:t xml:space="preserve">Without land-cover fractions</w:t>
            </w:r>
          </w:p>
        </w:tc>
        <w:tc>
          <w:tcPr>
            <w:tcW w:w="1300" w:type="dxa"/>
          </w:tcPr>
          <w:p>
            <w:r>
              <w:t xml:space="preserve">6</w:t>
            </w:r>
          </w:p>
        </w:tc>
        <w:tc>
          <w:tcPr>
            <w:tcW w:w="2300" w:type="dxa"/>
          </w:tcPr>
          <w:p>
            <w:r>
              <w:t xml:space="preserve">0.74 ± 0.06</w:t>
            </w:r>
          </w:p>
        </w:tc>
        <w:tc>
          <w:tcPr>
            <w:tcW w:w="1800" w:type="dxa"/>
          </w:tcPr>
          <w:p>
            <w:r>
              <w:t xml:space="preserve">1.23</w:t>
            </w:r>
          </w:p>
        </w:tc>
      </w:tr>
      <w:tr>
        <w:trPr>
          <w:cantSplit/>
        </w:trPr>
        <w:tc>
          <w:tcPr>
            <w:tcW w:w="4500" w:type="dxa"/>
          </w:tcPr>
          <w:p>
            <w:r>
              <w:t xml:space="preserve">Without spectral indices</w:t>
            </w:r>
          </w:p>
        </w:tc>
        <w:tc>
          <w:tcPr>
            <w:tcW w:w="1300" w:type="dxa"/>
          </w:tcPr>
          <w:p>
            <w:r>
              <w:t xml:space="preserve">6</w:t>
            </w:r>
          </w:p>
        </w:tc>
        <w:tc>
          <w:tcPr>
            <w:tcW w:w="2300" w:type="dxa"/>
          </w:tcPr>
          <w:p>
            <w:r>
              <w:t xml:space="preserve">0.68 ± 0.09</w:t>
            </w:r>
          </w:p>
        </w:tc>
        <w:tc>
          <w:tcPr>
            <w:tcW w:w="1800" w:type="dxa"/>
          </w:tcPr>
          <w:p>
            <w:r>
              <w:t xml:space="preserve">1.36</w:t>
            </w:r>
          </w:p>
        </w:tc>
      </w:tr>
      <w:tr>
        <w:trPr>
          <w:cantSplit/>
        </w:trPr>
        <w:tc>
          <w:tcPr>
            <w:tcW w:w="4500" w:type="dxa"/>
          </w:tcPr>
          <w:p>
            <w:r>
              <w:t xml:space="preserve">Without population</w:t>
            </w:r>
          </w:p>
        </w:tc>
        <w:tc>
          <w:tcPr>
            <w:tcW w:w="1300" w:type="dxa"/>
          </w:tcPr>
          <w:p>
            <w:r>
              <w:t xml:space="preserve">8</w:t>
            </w:r>
          </w:p>
        </w:tc>
        <w:tc>
          <w:tcPr>
            <w:tcW w:w="2300" w:type="dxa"/>
          </w:tcPr>
          <w:p>
            <w:r>
              <w:t xml:space="preserve">0.77 ± 0.06</w:t>
            </w:r>
          </w:p>
        </w:tc>
        <w:tc>
          <w:tcPr>
            <w:tcW w:w="1800" w:type="dxa"/>
          </w:tcPr>
          <w:p>
            <w:r>
              <w:t xml:space="preserve">1.14</w:t>
            </w:r>
          </w:p>
        </w:tc>
      </w:tr>
      <w:tr>
        <w:trPr>
          <w:cantSplit/>
        </w:trPr>
        <w:tc>
          <w:tcPr>
            <w:tcW w:w="4500" w:type="dxa"/>
          </w:tcPr>
          <w:p>
            <w:r>
              <w:t xml:space="preserve">Land-cover fractions only</w:t>
            </w:r>
          </w:p>
        </w:tc>
        <w:tc>
          <w:tcPr>
            <w:tcW w:w="1300" w:type="dxa"/>
          </w:tcPr>
          <w:p>
            <w:r>
              <w:t xml:space="preserve">4</w:t>
            </w:r>
          </w:p>
        </w:tc>
        <w:tc>
          <w:tcPr>
            <w:tcW w:w="2300" w:type="dxa"/>
          </w:tcPr>
          <w:p>
            <w:r>
              <w:t xml:space="preserve">0.58 ± 0.10</w:t>
            </w:r>
          </w:p>
        </w:tc>
        <w:tc>
          <w:tcPr>
            <w:tcW w:w="1800" w:type="dxa"/>
          </w:tcPr>
          <w:p>
            <w:r>
              <w:t xml:space="preserve">1.55</w:t>
            </w:r>
          </w:p>
        </w:tc>
      </w:tr>
      <w:tr>
        <w:trPr>
          <w:cantSplit/>
        </w:trPr>
        <w:tc>
          <w:tcPr>
            <w:tcW w:w="4500" w:type="dxa"/>
          </w:tcPr>
          <w:p>
            <w:r>
              <w:t xml:space="preserve">Spectral indices only</w:t>
            </w:r>
          </w:p>
        </w:tc>
        <w:tc>
          <w:tcPr>
            <w:tcW w:w="1300" w:type="dxa"/>
          </w:tcPr>
          <w:p>
            <w:r>
              <w:t xml:space="preserve">4</w:t>
            </w:r>
          </w:p>
        </w:tc>
        <w:tc>
          <w:tcPr>
            <w:tcW w:w="2300" w:type="dxa"/>
          </w:tcPr>
          <w:p>
            <w:r>
              <w:t xml:space="preserve">0.73 ± 0.06</w:t>
            </w:r>
          </w:p>
        </w:tc>
        <w:tc>
          <w:tcPr>
            <w:tcW w:w="1800" w:type="dxa"/>
          </w:tcPr>
          <w:p>
            <w:r>
              <w:t xml:space="preserve">1.25</w:t>
            </w:r>
          </w:p>
        </w:tc>
      </w:tr>
    </w:tbl>
    <w:p/>
    <w:p>
      <w:r>
        <w:t xml:space="preserve">The spectral indices carry most of the information (alone, R² 0.73); the land-cover fractions alone reach 0.58. Removing population changes almost nothing (0.77 against 0.78).</w:t>
      </w:r>
    </w:p>
    <w:p>
      <w:pPr>
        <w:pStyle w:val="Heading2"/>
      </w:pPr>
      <w:r>
        <w:t xml:space="preserve">3.3 XGBoost against linear regression</w:t>
      </w:r>
    </w:p>
    <w:p>
      <w:r>
        <w:t xml:space="preserve">With the same features, linear regression comes within 0.02 in R² of XGBoost under both validation schemes (first table). The gradient-boosted model adds little accuracy; its value is flexibility, not a large gain in fit.</w:t>
      </w:r>
    </w:p>
    <w:p>
      <w:pPr>
        <w:pStyle w:val="Heading1"/>
      </w:pPr>
      <w:r>
        <w:t xml:space="preserve">4. Relation to the priority ranking</w:t>
      </w:r>
    </w:p>
    <w:p>
      <w:r>
        <w:t xml:space="preserve">Scenario modelling does not enter the priority score, so it has no decision-impact test. It answers a follow-up question for the subzones the score selects: how much greening might help there.</w:t>
      </w:r>
    </w:p>
    <w:p>
      <w:pPr>
        <w:pStyle w:val="Heading1"/>
      </w:pPr>
      <w:r>
        <w:t xml:space="preserve">5. Limitations</w:t>
      </w:r>
    </w:p>
    <w:p>
      <w:r>
        <w:rPr>
          <w:b/>
        </w:rPr>
        <w:t xml:space="preserve">Association, not causation. </w:t>
      </w:r>
      <w:r>
        <w:t xml:space="preserve">XGBoost learned how temperature differs between subzones with different greenery; it was never shown a place that was greened. What-if results are what that association implies, not forecasts.</w:t>
      </w:r>
    </w:p>
    <w:p>
      <w:r>
        <w:rPr>
          <w:b/>
        </w:rPr>
        <w:t xml:space="preserve">Agreement with the association is partly built in. </w:t>
      </w:r>
      <w:r>
        <w:t xml:space="preserve">The edit moves the indices along relationships fitted across subzones, so agreeing with the cross-subzone slope shows consistency, not external validity.</w:t>
      </w:r>
    </w:p>
    <w:p>
      <w:r>
        <w:rPr>
          <w:b/>
        </w:rPr>
        <w:t xml:space="preserve">CNN target. </w:t>
      </w:r>
      <w:r>
        <w:t xml:space="preserve">The CNN learns the 10 m bicubic temperature layer, which is interpolated from Landsat's 30 m product (itself about 100 m measurement), so it cannot learn real 10 m detail.</w:t>
      </w:r>
    </w:p>
    <w:p>
      <w:r>
        <w:rPr>
          <w:b/>
        </w:rPr>
        <w:t xml:space="preserve">CNN validation split. </w:t>
      </w:r>
      <w:r>
        <w:t xml:space="preserve">Patches are split at random, so validation patches have training neighbours. This would flatter the CNN, which still does poorly.</w:t>
      </w:r>
    </w:p>
    <w:p>
      <w:r>
        <w:rPr>
          <w:b/>
        </w:rPr>
        <w:t xml:space="preserve">Reproducibility. </w:t>
      </w:r>
      <w:r>
        <w:t xml:space="preserve">Retraining XGBoost on another machine, or with a different number of processor threads, moves individual predictions by a few tenths of a degree; the reported model is the production one.</w:t>
      </w:r>
    </w:p>
    <w:p>
      <w:r>
        <w:rPr>
          <w:b/>
        </w:rPr>
        <w:t xml:space="preserve">Surface temperature. </w:t>
      </w:r>
      <w:r>
        <w:t xml:space="preserve">Both models predict daytime land surface temperature, not air temperature or thermal comfort.</w:t>
      </w:r>
    </w:p>
    <w:p>
      <w:pPr>
        <w:pStyle w:val="Heading1"/>
      </w:pPr>
      <w:r>
        <w:t xml:space="preserve">Sources</w:t>
      </w:r>
    </w:p>
    <w:p>
      <w:r>
        <w:t xml:space="preserve">Models: scripts/train_heat_model_xgboost.py, src/heat_model/tabular.py, notebooks/colab_training/train_heat_cnn.ipynb, src/heat_model/cnn_*.py, src/heat_model/counterfactual.py. Evaluation: scripts/evaluate_scenario_models.py, validation/heat_model_validation/scenario_evaluation.py (outputs in data/processed/diagnostics/scenario_*.csv).</w:t>
      </w:r>
    </w:p>
    <w:sectPr w:rsidR="007606B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6BC"/>
    <w:rsid w:val="005B3AFC"/>
    <w:rsid w:val="007606BC"/>
    <w:rsid w:val="00D9691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14C7"/>
  <w15:docId w15:val="{66D76960-5DC6-4545-898F-CD73969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8"/>
    </w:rPr>
  </w:style>
  <w:style w:type="paragraph" w:styleId="Subtitle">
    <w:name w:val="Subtitle"/>
    <w:uiPriority w:val="11"/>
    <w:qFormat/>
    <w:rPr>
      <w:color w:val="64748B"/>
    </w:rPr>
  </w:style>
  <w:style w:type="paragraph" w:styleId="Heading2">
    <w:name w:val="heading 2"/>
    <w:basedOn w:val="Normal"/>
    <w:next w:val="Normal"/>
    <w:uiPriority w:val="9"/>
    <w:unhideWhenUsed/>
    <w:qFormat/>
    <w:pPr>
      <w:keepNext/>
      <w:spacing w:before="200"/>
      <w:outlineLvl w:val="1"/>
    </w:pPr>
    <w:rPr>
      <w:b/>
      <w:color w:val="17365D"/>
      <w:sz w:val="24"/>
    </w:rPr>
  </w:style>
  <w:style w:type="paragraph" w:styleId="Heading3">
    <w:name w:val="heading 3"/>
    <w:basedOn w:val="Normal"/>
    <w:next w:val="Normal"/>
    <w:uiPriority w:val="9"/>
    <w:unhideWhenUsed/>
    <w:qFormat/>
    <w:pPr>
      <w:keepNext/>
      <w:spacing w:before="160"/>
      <w:outlineLvl w:val="2"/>
    </w:pPr>
    <w:rPr>
      <w:b/>
      <w:color w:val="3341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Modelling Evaluation and Ablation Tests</dc:title>
  <cp:lastModifiedBy>Kin Xing</cp:lastModifiedBy>
  <cp:revision>2</cp:revision>
  <dcterms:created xsi:type="dcterms:W3CDTF">2026-09-29T17:28:00Z</dcterms:created>
  <dcterms:modified xsi:type="dcterms:W3CDTF">2026-09-29T17:30:00Z</dcterms:modified>
</cp:coreProperties>
</file>