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664"/>
          <w:sz w:val="36"/>
        </w:rPr>
        <w:t>AskAITutor – AI-Powered Lecture Assistant</w:t>
      </w:r>
    </w:p>
    <w:p>
      <w:pPr>
        <w:jc w:val="center"/>
      </w:pPr>
      <w:r>
        <w:rPr>
          <w:color w:val="2E75B6"/>
          <w:sz w:val="24"/>
        </w:rPr>
        <w:t>Software Requirements Specification</w:t>
        <w:br/>
        <w:t>Functional &amp; Non-Functional Requirements</w:t>
      </w:r>
    </w:p>
    <w:p/>
    <w:p>
      <w:pPr>
        <w:jc w:val="left"/>
      </w:pPr>
      <w:r>
        <w:rPr>
          <w:b/>
          <w:color w:val="1F3664"/>
          <w:sz w:val="32"/>
        </w:rPr>
        <w:t>2.3.1  Functional Requirements</w:t>
      </w:r>
    </w:p>
    <w:p/>
    <w:p>
      <w:pPr>
        <w:spacing w:before="280" w:after="80"/>
      </w:pPr>
      <w:r>
        <w:rPr>
          <w:b/>
          <w:color w:val="1F3664"/>
          <w:sz w:val="24"/>
        </w:rPr>
        <w:t>A-  Users Module</w:t>
      </w:r>
    </w:p>
    <w:p>
      <w:pPr>
        <w:spacing w:before="200" w:after="40"/>
      </w:pPr>
      <w:r>
        <w:rPr>
          <w:b/>
          <w:color w:val="1F3664"/>
          <w:sz w:val="22"/>
        </w:rPr>
        <w:t>FR-01  User Registration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56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Req. ID</w:t>
            </w:r>
          </w:p>
        </w:tc>
        <w:tc>
          <w:tcPr>
            <w:tcW w:type="dxa" w:w="4561"/>
            <w:shd w:val="clear" w:color="auto" w:fill="2E75B6"/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Functional Requirements</w:t>
            </w:r>
          </w:p>
        </w:tc>
      </w:tr>
      <w:tr>
        <w:tc>
          <w:tcPr>
            <w:tcW w:type="dxa" w:w="4561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FR-01-01</w:t>
            </w:r>
          </w:p>
        </w:tc>
        <w:tc>
          <w:tcPr>
            <w:tcW w:type="dxa" w:w="4561"/>
            <w:shd w:val="clear" w:color="auto" w:fill="D6E4F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allow the user to enter their full name during account creation.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FR-01-02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allow the user to enter their email address during account creation.</w:t>
            </w:r>
          </w:p>
        </w:tc>
      </w:tr>
      <w:tr>
        <w:tc>
          <w:tcPr>
            <w:tcW w:type="dxa" w:w="4561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FR-01-03</w:t>
            </w:r>
          </w:p>
        </w:tc>
        <w:tc>
          <w:tcPr>
            <w:tcW w:type="dxa" w:w="4561"/>
            <w:shd w:val="clear" w:color="auto" w:fill="D6E4F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allow the user to enter and confirm their password during account creation.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FR-01-04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validate the email format and reject malformed addresses before form submission.</w:t>
            </w:r>
          </w:p>
        </w:tc>
      </w:tr>
      <w:tr>
        <w:tc>
          <w:tcPr>
            <w:tcW w:type="dxa" w:w="4561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FR-01-05</w:t>
            </w:r>
          </w:p>
        </w:tc>
        <w:tc>
          <w:tcPr>
            <w:tcW w:type="dxa" w:w="4561"/>
            <w:shd w:val="clear" w:color="auto" w:fill="D6E4F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prevent duplicate registrations and display an appropriate error when an email is already in use.</w:t>
            </w:r>
          </w:p>
        </w:tc>
      </w:tr>
    </w:tbl>
    <w:p/>
    <w:p>
      <w:pPr>
        <w:spacing w:before="200" w:after="40"/>
      </w:pPr>
      <w:r>
        <w:rPr>
          <w:b/>
          <w:color w:val="1F3664"/>
          <w:sz w:val="22"/>
        </w:rPr>
        <w:t>FR-02  User Login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56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Req. ID</w:t>
            </w:r>
          </w:p>
        </w:tc>
        <w:tc>
          <w:tcPr>
            <w:tcW w:type="dxa" w:w="4561"/>
            <w:shd w:val="clear" w:color="auto" w:fill="2E75B6"/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Functional Requirements</w:t>
            </w:r>
          </w:p>
        </w:tc>
      </w:tr>
      <w:tr>
        <w:tc>
          <w:tcPr>
            <w:tcW w:type="dxa" w:w="4561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FR-02-01</w:t>
            </w:r>
          </w:p>
        </w:tc>
        <w:tc>
          <w:tcPr>
            <w:tcW w:type="dxa" w:w="4561"/>
            <w:shd w:val="clear" w:color="auto" w:fill="D6E4F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allow the user to log in by entering their registered email address.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FR-02-02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allow the user to log in by entering their password.</w:t>
            </w:r>
          </w:p>
        </w:tc>
      </w:tr>
      <w:tr>
        <w:tc>
          <w:tcPr>
            <w:tcW w:type="dxa" w:w="4561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FR-02-03</w:t>
            </w:r>
          </w:p>
        </w:tc>
        <w:tc>
          <w:tcPr>
            <w:tcW w:type="dxa" w:w="4561"/>
            <w:shd w:val="clear" w:color="auto" w:fill="D6E4F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issue a short-lived JWT access token (15 minutes) upon successful authentication.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FR-02-04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store a long-lived refresh token in an HTTP-only cookie upon successful login.</w:t>
            </w:r>
          </w:p>
        </w:tc>
      </w:tr>
      <w:tr>
        <w:tc>
          <w:tcPr>
            <w:tcW w:type="dxa" w:w="4561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FR-02-05</w:t>
            </w:r>
          </w:p>
        </w:tc>
        <w:tc>
          <w:tcPr>
            <w:tcW w:type="dxa" w:w="4561"/>
            <w:shd w:val="clear" w:color="auto" w:fill="D6E4F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display an error message when login credentials are incorrect.</w:t>
            </w:r>
          </w:p>
        </w:tc>
      </w:tr>
    </w:tbl>
    <w:p/>
    <w:p>
      <w:pPr>
        <w:spacing w:before="200" w:after="40"/>
      </w:pPr>
      <w:r>
        <w:rPr>
          <w:b/>
          <w:color w:val="1F3664"/>
          <w:sz w:val="22"/>
        </w:rPr>
        <w:t>FR-03  Password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56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Req. ID</w:t>
            </w:r>
          </w:p>
        </w:tc>
        <w:tc>
          <w:tcPr>
            <w:tcW w:type="dxa" w:w="4561"/>
            <w:shd w:val="clear" w:color="auto" w:fill="2E75B6"/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Functional Requirements</w:t>
            </w:r>
          </w:p>
        </w:tc>
      </w:tr>
      <w:tr>
        <w:tc>
          <w:tcPr>
            <w:tcW w:type="dxa" w:w="4561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FR-03-01</w:t>
            </w:r>
          </w:p>
        </w:tc>
        <w:tc>
          <w:tcPr>
            <w:tcW w:type="dxa" w:w="4561"/>
            <w:shd w:val="clear" w:color="auto" w:fill="D6E4F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allow the user to request a password reset by submitting their registered email address.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FR-03-02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send a time-bound (1-hour) password reset link to the user's registered email.</w:t>
            </w:r>
          </w:p>
        </w:tc>
      </w:tr>
      <w:tr>
        <w:tc>
          <w:tcPr>
            <w:tcW w:type="dxa" w:w="4561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FR-03-03</w:t>
            </w:r>
          </w:p>
        </w:tc>
        <w:tc>
          <w:tcPr>
            <w:tcW w:type="dxa" w:w="4561"/>
            <w:shd w:val="clear" w:color="auto" w:fill="D6E4F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allow the user to set a new password using a valid, unexpired reset token.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FR-03-04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invalidate all active refresh tokens upon a successful password reset.</w:t>
            </w:r>
          </w:p>
        </w:tc>
      </w:tr>
      <w:tr>
        <w:tc>
          <w:tcPr>
            <w:tcW w:type="dxa" w:w="4561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FR-03-05</w:t>
            </w:r>
          </w:p>
        </w:tc>
        <w:tc>
          <w:tcPr>
            <w:tcW w:type="dxa" w:w="4561"/>
            <w:shd w:val="clear" w:color="auto" w:fill="D6E4F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display a uniform success message for password-reset requests regardless of whether the email exists, to prevent email enumeration.</w:t>
            </w:r>
          </w:p>
        </w:tc>
      </w:tr>
    </w:tbl>
    <w:p/>
    <w:p>
      <w:pPr>
        <w:spacing w:before="200" w:after="40"/>
      </w:pPr>
      <w:r>
        <w:rPr>
          <w:b/>
          <w:color w:val="1F3664"/>
          <w:sz w:val="22"/>
        </w:rPr>
        <w:t>FR-04  User Interface Interaction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56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Req. ID</w:t>
            </w:r>
          </w:p>
        </w:tc>
        <w:tc>
          <w:tcPr>
            <w:tcW w:type="dxa" w:w="4561"/>
            <w:shd w:val="clear" w:color="auto" w:fill="2E75B6"/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Functional Requirements</w:t>
            </w:r>
          </w:p>
        </w:tc>
      </w:tr>
      <w:tr>
        <w:tc>
          <w:tcPr>
            <w:tcW w:type="dxa" w:w="4561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FR-04-01</w:t>
            </w:r>
          </w:p>
        </w:tc>
        <w:tc>
          <w:tcPr>
            <w:tcW w:type="dxa" w:w="4561"/>
            <w:shd w:val="clear" w:color="auto" w:fill="D6E4F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redirect unauthenticated users to the login page when they attempt to access protected routes.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FR-04-02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display inline validation error messages beneath each form field.</w:t>
            </w:r>
          </w:p>
        </w:tc>
      </w:tr>
      <w:tr>
        <w:tc>
          <w:tcPr>
            <w:tcW w:type="dxa" w:w="4561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FR-04-03</w:t>
            </w:r>
          </w:p>
        </w:tc>
        <w:tc>
          <w:tcPr>
            <w:tcW w:type="dxa" w:w="4561"/>
            <w:shd w:val="clear" w:color="auto" w:fill="D6E4F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show a loading indicator during API requests to provide user feedback.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FR-04-04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display success and error feedback messages (toasts/alerts) following user actions.</w:t>
            </w:r>
          </w:p>
        </w:tc>
      </w:tr>
      <w:tr>
        <w:tc>
          <w:tcPr>
            <w:tcW w:type="dxa" w:w="4561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FR-04-05</w:t>
            </w:r>
          </w:p>
        </w:tc>
        <w:tc>
          <w:tcPr>
            <w:tcW w:type="dxa" w:w="4561"/>
            <w:shd w:val="clear" w:color="auto" w:fill="D6E4F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automatically refresh the JWT access token in the background using the refresh token when a 401 Unauthorized response is received.</w:t>
            </w:r>
          </w:p>
        </w:tc>
      </w:tr>
    </w:tbl>
    <w:p/>
    <w:p>
      <w:pPr>
        <w:spacing w:before="280" w:after="80"/>
      </w:pPr>
      <w:r>
        <w:rPr>
          <w:b/>
          <w:color w:val="1F3664"/>
          <w:sz w:val="24"/>
        </w:rPr>
        <w:t>B-  Courses &amp; Lectures Module</w:t>
      </w:r>
    </w:p>
    <w:p>
      <w:pPr>
        <w:spacing w:before="200" w:after="40"/>
      </w:pPr>
      <w:r>
        <w:rPr>
          <w:b/>
          <w:color w:val="1F3664"/>
          <w:sz w:val="22"/>
        </w:rPr>
        <w:t>FR-05  Browse Lectures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56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Req. ID</w:t>
            </w:r>
          </w:p>
        </w:tc>
        <w:tc>
          <w:tcPr>
            <w:tcW w:type="dxa" w:w="4561"/>
            <w:shd w:val="clear" w:color="auto" w:fill="2E75B6"/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Functional Requirements</w:t>
            </w:r>
          </w:p>
        </w:tc>
      </w:tr>
      <w:tr>
        <w:tc>
          <w:tcPr>
            <w:tcW w:type="dxa" w:w="4561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FR-05-01</w:t>
            </w:r>
          </w:p>
        </w:tc>
        <w:tc>
          <w:tcPr>
            <w:tcW w:type="dxa" w:w="4561"/>
            <w:shd w:val="clear" w:color="auto" w:fill="D6E4F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display a list of all available lectures to authenticated users on the Courses page.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FR-05-02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display each lecture's sequential number, title, and duration.</w:t>
            </w:r>
          </w:p>
        </w:tc>
      </w:tr>
      <w:tr>
        <w:tc>
          <w:tcPr>
            <w:tcW w:type="dxa" w:w="4561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FR-05-03</w:t>
            </w:r>
          </w:p>
        </w:tc>
        <w:tc>
          <w:tcPr>
            <w:tcW w:type="dxa" w:w="4561"/>
            <w:shd w:val="clear" w:color="auto" w:fill="D6E4F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display the user's watched progress percentage (0–100%) alongside each lecture.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FR-05-04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allow the user to select any lecture from the list to begin watching.</w:t>
            </w:r>
          </w:p>
        </w:tc>
      </w:tr>
      <w:tr>
        <w:tc>
          <w:tcPr>
            <w:tcW w:type="dxa" w:w="4561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FR-05-05</w:t>
            </w:r>
          </w:p>
        </w:tc>
        <w:tc>
          <w:tcPr>
            <w:tcW w:type="dxa" w:w="4561"/>
            <w:shd w:val="clear" w:color="auto" w:fill="D6E4F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visually distinguish lectures that have been fully watched from unwatched ones.</w:t>
            </w:r>
          </w:p>
        </w:tc>
      </w:tr>
    </w:tbl>
    <w:p/>
    <w:p>
      <w:pPr>
        <w:spacing w:before="200" w:after="40"/>
      </w:pPr>
      <w:r>
        <w:rPr>
          <w:b/>
          <w:color w:val="1F3664"/>
          <w:sz w:val="22"/>
        </w:rPr>
        <w:t>FR-06  Lecture Playlist Navigation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56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Req. ID</w:t>
            </w:r>
          </w:p>
        </w:tc>
        <w:tc>
          <w:tcPr>
            <w:tcW w:type="dxa" w:w="4561"/>
            <w:shd w:val="clear" w:color="auto" w:fill="2E75B6"/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Functional Requirements</w:t>
            </w:r>
          </w:p>
        </w:tc>
      </w:tr>
      <w:tr>
        <w:tc>
          <w:tcPr>
            <w:tcW w:type="dxa" w:w="4561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FR-06-01</w:t>
            </w:r>
          </w:p>
        </w:tc>
        <w:tc>
          <w:tcPr>
            <w:tcW w:type="dxa" w:w="4561"/>
            <w:shd w:val="clear" w:color="auto" w:fill="D6E4F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display a sidebar playlist column listing all lectures in the course while viewing a lecture.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FR-06-02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highlight the currently playing lecture within the playlist.</w:t>
            </w:r>
          </w:p>
        </w:tc>
      </w:tr>
      <w:tr>
        <w:tc>
          <w:tcPr>
            <w:tcW w:type="dxa" w:w="4561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FR-06-03</w:t>
            </w:r>
          </w:p>
        </w:tc>
        <w:tc>
          <w:tcPr>
            <w:tcW w:type="dxa" w:w="4561"/>
            <w:shd w:val="clear" w:color="auto" w:fill="D6E4F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allow the user to switch to any other lecture directly from the playlist sidebar.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FR-06-04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display the total number of lectures and how many have been completed.</w:t>
            </w:r>
          </w:p>
        </w:tc>
      </w:tr>
    </w:tbl>
    <w:p/>
    <w:p>
      <w:pPr>
        <w:spacing w:before="280" w:after="80"/>
      </w:pPr>
      <w:r>
        <w:rPr>
          <w:b/>
          <w:color w:val="1F3664"/>
          <w:sz w:val="24"/>
        </w:rPr>
        <w:t>C-  Lecture Viewing Module</w:t>
      </w:r>
    </w:p>
    <w:p>
      <w:pPr>
        <w:spacing w:before="200" w:after="40"/>
      </w:pPr>
      <w:r>
        <w:rPr>
          <w:b/>
          <w:color w:val="1F3664"/>
          <w:sz w:val="22"/>
        </w:rPr>
        <w:t>FR-07  Watch Lecture Video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56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Req. ID</w:t>
            </w:r>
          </w:p>
        </w:tc>
        <w:tc>
          <w:tcPr>
            <w:tcW w:type="dxa" w:w="4561"/>
            <w:shd w:val="clear" w:color="auto" w:fill="2E75B6"/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Functional Requirements</w:t>
            </w:r>
          </w:p>
        </w:tc>
      </w:tr>
      <w:tr>
        <w:tc>
          <w:tcPr>
            <w:tcW w:type="dxa" w:w="4561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FR-07-01</w:t>
            </w:r>
          </w:p>
        </w:tc>
        <w:tc>
          <w:tcPr>
            <w:tcW w:type="dxa" w:w="4561"/>
            <w:shd w:val="clear" w:color="auto" w:fill="D6E4F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embed and stream YouTube-hosted lecture videos on the lecture page.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FR-07-02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allow the user to play, pause, seek, and adjust volume within the embedded video player.</w:t>
            </w:r>
          </w:p>
        </w:tc>
      </w:tr>
      <w:tr>
        <w:tc>
          <w:tcPr>
            <w:tcW w:type="dxa" w:w="4561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FR-07-03</w:t>
            </w:r>
          </w:p>
        </w:tc>
        <w:tc>
          <w:tcPr>
            <w:tcW w:type="dxa" w:w="4561"/>
            <w:shd w:val="clear" w:color="auto" w:fill="D6E4F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display the lecture title and associated metadata (e.g., duration, lecture number) on the viewing page.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FR-07-04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provide a navigation button allowing the user to proceed to the next lecture directly from the viewing page.</w:t>
            </w:r>
          </w:p>
        </w:tc>
      </w:tr>
    </w:tbl>
    <w:p/>
    <w:p>
      <w:pPr>
        <w:spacing w:before="280" w:after="80"/>
      </w:pPr>
      <w:r>
        <w:rPr>
          <w:b/>
          <w:color w:val="1F3664"/>
          <w:sz w:val="24"/>
        </w:rPr>
        <w:t>D-  AI Chat Module</w:t>
      </w:r>
    </w:p>
    <w:p>
      <w:pPr>
        <w:spacing w:before="200" w:after="40"/>
      </w:pPr>
      <w:r>
        <w:rPr>
          <w:b/>
          <w:color w:val="1F3664"/>
          <w:sz w:val="22"/>
        </w:rPr>
        <w:t>FR-08  Text-Based Question &amp; Answer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56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Req. ID</w:t>
            </w:r>
          </w:p>
        </w:tc>
        <w:tc>
          <w:tcPr>
            <w:tcW w:type="dxa" w:w="4561"/>
            <w:shd w:val="clear" w:color="auto" w:fill="2E75B6"/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Functional Requirements</w:t>
            </w:r>
          </w:p>
        </w:tc>
      </w:tr>
      <w:tr>
        <w:tc>
          <w:tcPr>
            <w:tcW w:type="dxa" w:w="4561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FR-08-01</w:t>
            </w:r>
          </w:p>
        </w:tc>
        <w:tc>
          <w:tcPr>
            <w:tcW w:type="dxa" w:w="4561"/>
            <w:shd w:val="clear" w:color="auto" w:fill="D6E4F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provide a slide-up chat drawer on the lecture page allowing the user to type questions about the lecture.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FR-08-02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send the user's typed question to the AI tutor for processing upon submission.</w:t>
            </w:r>
          </w:p>
        </w:tc>
      </w:tr>
      <w:tr>
        <w:tc>
          <w:tcPr>
            <w:tcW w:type="dxa" w:w="4561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FR-08-03</w:t>
            </w:r>
          </w:p>
        </w:tc>
        <w:tc>
          <w:tcPr>
            <w:tcW w:type="dxa" w:w="4561"/>
            <w:shd w:val="clear" w:color="auto" w:fill="D6E4F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display the AI tutor's response in the chat interface in a visually distinct message bubble.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FR-08-04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scope AI tutor responses strictly to the content of the current lecture to prevent off-topic or hallucinated answers.</w:t>
            </w:r>
          </w:p>
        </w:tc>
      </w:tr>
      <w:tr>
        <w:tc>
          <w:tcPr>
            <w:tcW w:type="dxa" w:w="4561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FR-08-05</w:t>
            </w:r>
          </w:p>
        </w:tc>
        <w:tc>
          <w:tcPr>
            <w:tcW w:type="dxa" w:w="4561"/>
            <w:shd w:val="clear" w:color="auto" w:fill="D6E4F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display suggestion chips (quick-question shortcuts) to help the user formulate lecture-related questions.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FR-08-06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display a typing indicator animation while the AI tutor is generating a response.</w:t>
            </w:r>
          </w:p>
        </w:tc>
      </w:tr>
    </w:tbl>
    <w:p/>
    <w:p>
      <w:pPr>
        <w:spacing w:before="200" w:after="40"/>
      </w:pPr>
      <w:r>
        <w:rPr>
          <w:b/>
          <w:color w:val="1F3664"/>
          <w:sz w:val="22"/>
        </w:rPr>
        <w:t>FR-09  Voice-Based Question &amp; Answer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56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Req. ID</w:t>
            </w:r>
          </w:p>
        </w:tc>
        <w:tc>
          <w:tcPr>
            <w:tcW w:type="dxa" w:w="4561"/>
            <w:shd w:val="clear" w:color="auto" w:fill="2E75B6"/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Functional Requirements</w:t>
            </w:r>
          </w:p>
        </w:tc>
      </w:tr>
      <w:tr>
        <w:tc>
          <w:tcPr>
            <w:tcW w:type="dxa" w:w="4561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FR-09-01</w:t>
            </w:r>
          </w:p>
        </w:tc>
        <w:tc>
          <w:tcPr>
            <w:tcW w:type="dxa" w:w="4561"/>
            <w:shd w:val="clear" w:color="auto" w:fill="D6E4F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allow the user to activate voice input by pressing a microphone button in the chat interface.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FR-09-02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convert the user's spoken question to text in real time using the browser's Web Speech Recognition API.</w:t>
            </w:r>
          </w:p>
        </w:tc>
      </w:tr>
      <w:tr>
        <w:tc>
          <w:tcPr>
            <w:tcW w:type="dxa" w:w="4561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FR-09-03</w:t>
            </w:r>
          </w:p>
        </w:tc>
        <w:tc>
          <w:tcPr>
            <w:tcW w:type="dxa" w:w="4561"/>
            <w:shd w:val="clear" w:color="auto" w:fill="D6E4F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automatically submit the transcribed voice question after detecting 1.5 seconds of silence.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FR-09-04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read the AI tutor's response aloud using Text-to-Speech synthesis after the answer is received.</w:t>
            </w:r>
          </w:p>
        </w:tc>
      </w:tr>
      <w:tr>
        <w:tc>
          <w:tcPr>
            <w:tcW w:type="dxa" w:w="4561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FR-09-05</w:t>
            </w:r>
          </w:p>
        </w:tc>
        <w:tc>
          <w:tcPr>
            <w:tcW w:type="dxa" w:w="4561"/>
            <w:shd w:val="clear" w:color="auto" w:fill="D6E4F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allow the user to pause or stop the AI's spoken response at any time.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FR-09-06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detect whether the user's browser supports voice features and display an informative message if voice is unavailable.</w:t>
            </w:r>
          </w:p>
        </w:tc>
      </w:tr>
    </w:tbl>
    <w:p/>
    <w:p>
      <w:pPr>
        <w:spacing w:before="200" w:after="40"/>
      </w:pPr>
      <w:r>
        <w:rPr>
          <w:b/>
          <w:color w:val="1F3664"/>
          <w:sz w:val="22"/>
        </w:rPr>
        <w:t>FR-10  Chat Interface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56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Req. ID</w:t>
            </w:r>
          </w:p>
        </w:tc>
        <w:tc>
          <w:tcPr>
            <w:tcW w:type="dxa" w:w="4561"/>
            <w:shd w:val="clear" w:color="auto" w:fill="2E75B6"/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Functional Requirements</w:t>
            </w:r>
          </w:p>
        </w:tc>
      </w:tr>
      <w:tr>
        <w:tc>
          <w:tcPr>
            <w:tcW w:type="dxa" w:w="4561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FR-10-01</w:t>
            </w:r>
          </w:p>
        </w:tc>
        <w:tc>
          <w:tcPr>
            <w:tcW w:type="dxa" w:w="4561"/>
            <w:shd w:val="clear" w:color="auto" w:fill="D6E4F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allow the user to toggle the chat drawer open and closed via a visible toggle bar.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FR-10-02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display chat messages in chronological order with timestamps.</w:t>
            </w:r>
          </w:p>
        </w:tc>
      </w:tr>
      <w:tr>
        <w:tc>
          <w:tcPr>
            <w:tcW w:type="dxa" w:w="4561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FR-10-03</w:t>
            </w:r>
          </w:p>
        </w:tc>
        <w:tc>
          <w:tcPr>
            <w:tcW w:type="dxa" w:w="4561"/>
            <w:shd w:val="clear" w:color="auto" w:fill="D6E4F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visually differentiate user messages from AI tutor responses using distinct colours and alignment.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FR-10-04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allow the user to switch between text input mode and voice input mode within the chat interface.</w:t>
            </w:r>
          </w:p>
        </w:tc>
      </w:tr>
      <w:tr>
        <w:tc>
          <w:tcPr>
            <w:tcW w:type="dxa" w:w="4561"/>
            <w:shd w:val="clear" w:color="auto" w:fill="D6E4F0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FR-10-05</w:t>
            </w:r>
          </w:p>
        </w:tc>
        <w:tc>
          <w:tcPr>
            <w:tcW w:type="dxa" w:w="4561"/>
            <w:shd w:val="clear" w:color="auto" w:fill="D6E4F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display the full chat history for the current lecture session within the chat drawer.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color w:val="1F3664"/>
          <w:sz w:val="32"/>
        </w:rPr>
        <w:t>2.3.2  Non-Functional Requirements</w:t>
      </w:r>
    </w:p>
    <w:p/>
    <w:p>
      <w:pPr>
        <w:spacing w:before="200" w:after="40"/>
      </w:pPr>
      <w:r>
        <w:rPr>
          <w:b/>
          <w:color w:val="1F3664"/>
          <w:sz w:val="22"/>
        </w:rPr>
        <w:t>NFR-01  Performance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56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Req. ID</w:t>
            </w:r>
          </w:p>
        </w:tc>
        <w:tc>
          <w:tcPr>
            <w:tcW w:type="dxa" w:w="4561"/>
            <w:shd w:val="clear" w:color="auto" w:fill="1F3864"/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Non-Functional Requirements</w:t>
            </w:r>
          </w:p>
        </w:tc>
      </w:tr>
      <w:tr>
        <w:tc>
          <w:tcPr>
            <w:tcW w:type="dxa" w:w="4561"/>
            <w:shd w:val="clear" w:color="auto" w:fill="EAF0F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NFR-01-01</w:t>
            </w:r>
          </w:p>
        </w:tc>
        <w:tc>
          <w:tcPr>
            <w:tcW w:type="dxa" w:w="4561"/>
            <w:shd w:val="clear" w:color="auto" w:fill="EAF0F7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return the AI tutor's response within 3–5 seconds of the user submitting a question.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NFR-01-02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load the lecture page, including the embedded video player and chat drawer, within 3 seconds on a standard broadband connection.</w:t>
            </w:r>
          </w:p>
        </w:tc>
      </w:tr>
      <w:tr>
        <w:tc>
          <w:tcPr>
            <w:tcW w:type="dxa" w:w="4561"/>
            <w:shd w:val="clear" w:color="auto" w:fill="EAF0F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NFR-01-03</w:t>
            </w:r>
          </w:p>
        </w:tc>
        <w:tc>
          <w:tcPr>
            <w:tcW w:type="dxa" w:w="4561"/>
            <w:shd w:val="clear" w:color="auto" w:fill="EAF0F7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support multiple concurrent authenticated user sessions without degradation in response time or functionality.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NFR-01-04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activate the speech recognition listener within 1 second of the user pressing the microphone button.</w:t>
            </w:r>
          </w:p>
        </w:tc>
      </w:tr>
      <w:tr>
        <w:tc>
          <w:tcPr>
            <w:tcW w:type="dxa" w:w="4561"/>
            <w:shd w:val="clear" w:color="auto" w:fill="EAF0F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NFR-01-05</w:t>
            </w:r>
          </w:p>
        </w:tc>
        <w:tc>
          <w:tcPr>
            <w:tcW w:type="dxa" w:w="4561"/>
            <w:shd w:val="clear" w:color="auto" w:fill="EAF0F7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complete user authentication (login/register) API calls within 2 seconds under normal load.</w:t>
            </w:r>
          </w:p>
        </w:tc>
      </w:tr>
    </w:tbl>
    <w:p/>
    <w:p>
      <w:pPr>
        <w:spacing w:before="200" w:after="40"/>
      </w:pPr>
      <w:r>
        <w:rPr>
          <w:b/>
          <w:color w:val="1F3664"/>
          <w:sz w:val="22"/>
        </w:rPr>
        <w:t>NFR-02  Security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56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Req. ID</w:t>
            </w:r>
          </w:p>
        </w:tc>
        <w:tc>
          <w:tcPr>
            <w:tcW w:type="dxa" w:w="4561"/>
            <w:shd w:val="clear" w:color="auto" w:fill="1F3864"/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Non-Functional Requirements</w:t>
            </w:r>
          </w:p>
        </w:tc>
      </w:tr>
      <w:tr>
        <w:tc>
          <w:tcPr>
            <w:tcW w:type="dxa" w:w="4561"/>
            <w:shd w:val="clear" w:color="auto" w:fill="EAF0F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NFR-02-01</w:t>
            </w:r>
          </w:p>
        </w:tc>
        <w:tc>
          <w:tcPr>
            <w:tcW w:type="dxa" w:w="4561"/>
            <w:shd w:val="clear" w:color="auto" w:fill="EAF0F7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authenticate every protected API request using a valid JWT access token provided in the Authorization header.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NFR-02-02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store refresh tokens exclusively in HTTP-only, Secure, SameSite=Strict cookies to mitigate XSS and CSRF attacks.</w:t>
            </w:r>
          </w:p>
        </w:tc>
      </w:tr>
      <w:tr>
        <w:tc>
          <w:tcPr>
            <w:tcW w:type="dxa" w:w="4561"/>
            <w:shd w:val="clear" w:color="auto" w:fill="EAF0F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NFR-02-03</w:t>
            </w:r>
          </w:p>
        </w:tc>
        <w:tc>
          <w:tcPr>
            <w:tcW w:type="dxa" w:w="4561"/>
            <w:shd w:val="clear" w:color="auto" w:fill="EAF0F7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hash all refresh tokens and password-reset tokens using SHA-256 before persisting them in the database.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NFR-02-04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hash user passwords using bcrypt with a minimum of 12 salt rounds before storage.</w:t>
            </w:r>
          </w:p>
        </w:tc>
      </w:tr>
      <w:tr>
        <w:tc>
          <w:tcPr>
            <w:tcW w:type="dxa" w:w="4561"/>
            <w:shd w:val="clear" w:color="auto" w:fill="EAF0F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NFR-02-05</w:t>
            </w:r>
          </w:p>
        </w:tc>
        <w:tc>
          <w:tcPr>
            <w:tcW w:type="dxa" w:w="4561"/>
            <w:shd w:val="clear" w:color="auto" w:fill="EAF0F7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enforce rate limiting on all authentication endpoints, allowing no more than 10 requests per 15 minutes per IP address.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NFR-02-06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invalidate all existing refresh tokens after a successful password reset to prevent unauthorized session continuation.</w:t>
            </w:r>
          </w:p>
        </w:tc>
      </w:tr>
      <w:tr>
        <w:tc>
          <w:tcPr>
            <w:tcW w:type="dxa" w:w="4561"/>
            <w:shd w:val="clear" w:color="auto" w:fill="EAF0F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NFR-02-07</w:t>
            </w:r>
          </w:p>
        </w:tc>
        <w:tc>
          <w:tcPr>
            <w:tcW w:type="dxa" w:w="4561"/>
            <w:shd w:val="clear" w:color="auto" w:fill="EAF0F7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apply security headers (via Helmet.js) including X-Frame-Options: DENY and X-Content-Type-Options: nosniff to all responses.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NFR-02-08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restrict CORS to the whitelisted frontend origin only.</w:t>
            </w:r>
          </w:p>
        </w:tc>
      </w:tr>
    </w:tbl>
    <w:p/>
    <w:p>
      <w:pPr>
        <w:spacing w:before="200" w:after="40"/>
      </w:pPr>
      <w:r>
        <w:rPr>
          <w:b/>
          <w:color w:val="1F3664"/>
          <w:sz w:val="22"/>
        </w:rPr>
        <w:t>NFR-03  Accuracy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56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Req. ID</w:t>
            </w:r>
          </w:p>
        </w:tc>
        <w:tc>
          <w:tcPr>
            <w:tcW w:type="dxa" w:w="4561"/>
            <w:shd w:val="clear" w:color="auto" w:fill="1F3864"/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Non-Functional Requirements</w:t>
            </w:r>
          </w:p>
        </w:tc>
      </w:tr>
      <w:tr>
        <w:tc>
          <w:tcPr>
            <w:tcW w:type="dxa" w:w="4561"/>
            <w:shd w:val="clear" w:color="auto" w:fill="EAF0F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NFR-03-01</w:t>
            </w:r>
          </w:p>
        </w:tc>
        <w:tc>
          <w:tcPr>
            <w:tcW w:type="dxa" w:w="4561"/>
            <w:shd w:val="clear" w:color="auto" w:fill="EAF0F7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AI tutor shall respond only with information derived from the content of the currently active lecture, avoiding hallucinated or out-of-scope answers.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NFR-03-02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voice-to-text transcription shall achieve an accuracy of at least 85% for clearly spoken English under normal acoustic conditions.</w:t>
            </w:r>
          </w:p>
        </w:tc>
      </w:tr>
      <w:tr>
        <w:tc>
          <w:tcPr>
            <w:tcW w:type="dxa" w:w="4561"/>
            <w:shd w:val="clear" w:color="auto" w:fill="EAF0F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NFR-03-03</w:t>
            </w:r>
          </w:p>
        </w:tc>
        <w:tc>
          <w:tcPr>
            <w:tcW w:type="dxa" w:w="4561"/>
            <w:shd w:val="clear" w:color="auto" w:fill="EAF0F7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handle unrecognised speech, empty inputs, and ambiguous queries gracefully by prompting the user rather than crashing.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NFR-03-04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consistently produce the same AI response for identical questions about the same lecture content.</w:t>
            </w:r>
          </w:p>
        </w:tc>
      </w:tr>
    </w:tbl>
    <w:p/>
    <w:p>
      <w:pPr>
        <w:spacing w:before="200" w:after="40"/>
      </w:pPr>
      <w:r>
        <w:rPr>
          <w:b/>
          <w:color w:val="1F3664"/>
          <w:sz w:val="22"/>
        </w:rPr>
        <w:t>NFR-04  Usability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56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Req. ID</w:t>
            </w:r>
          </w:p>
        </w:tc>
        <w:tc>
          <w:tcPr>
            <w:tcW w:type="dxa" w:w="4561"/>
            <w:shd w:val="clear" w:color="auto" w:fill="1F3864"/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Non-Functional Requirements</w:t>
            </w:r>
          </w:p>
        </w:tc>
      </w:tr>
      <w:tr>
        <w:tc>
          <w:tcPr>
            <w:tcW w:type="dxa" w:w="4561"/>
            <w:shd w:val="clear" w:color="auto" w:fill="EAF0F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NFR-04-01</w:t>
            </w:r>
          </w:p>
        </w:tc>
        <w:tc>
          <w:tcPr>
            <w:tcW w:type="dxa" w:w="4561"/>
            <w:shd w:val="clear" w:color="auto" w:fill="EAF0F7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provide a clean, intuitive interface that requires no technical training for students to use effectively.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NFR-04-02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be fully operable on laptops, tablets, and desktop computers with varying screen resolutions.</w:t>
            </w:r>
          </w:p>
        </w:tc>
      </w:tr>
      <w:tr>
        <w:tc>
          <w:tcPr>
            <w:tcW w:type="dxa" w:w="4561"/>
            <w:shd w:val="clear" w:color="auto" w:fill="EAF0F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NFR-04-03</w:t>
            </w:r>
          </w:p>
        </w:tc>
        <w:tc>
          <w:tcPr>
            <w:tcW w:type="dxa" w:w="4561"/>
            <w:shd w:val="clear" w:color="auto" w:fill="EAF0F7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provide clear visual feedback (loading spinners, inline errors, success messages) for every user-initiated action.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NFR-04-04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offer suggestion chips to guide users who are unsure how to phrase a question about the lecture.</w:t>
            </w:r>
          </w:p>
        </w:tc>
      </w:tr>
      <w:tr>
        <w:tc>
          <w:tcPr>
            <w:tcW w:type="dxa" w:w="4561"/>
            <w:shd w:val="clear" w:color="auto" w:fill="EAF0F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NFR-04-05</w:t>
            </w:r>
          </w:p>
        </w:tc>
        <w:tc>
          <w:tcPr>
            <w:tcW w:type="dxa" w:w="4561"/>
            <w:shd w:val="clear" w:color="auto" w:fill="EAF0F7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chat drawer shall remain accessible at all times during lecture playback without obscuring the video player.</w:t>
            </w:r>
          </w:p>
        </w:tc>
      </w:tr>
    </w:tbl>
    <w:p/>
    <w:p>
      <w:pPr>
        <w:spacing w:before="200" w:after="40"/>
      </w:pPr>
      <w:r>
        <w:rPr>
          <w:b/>
          <w:color w:val="1F3664"/>
          <w:sz w:val="22"/>
        </w:rPr>
        <w:t>NFR-05  Maintainability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56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Req. ID</w:t>
            </w:r>
          </w:p>
        </w:tc>
        <w:tc>
          <w:tcPr>
            <w:tcW w:type="dxa" w:w="4561"/>
            <w:shd w:val="clear" w:color="auto" w:fill="1F3864"/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Non-Functional Requirements</w:t>
            </w:r>
          </w:p>
        </w:tc>
      </w:tr>
      <w:tr>
        <w:tc>
          <w:tcPr>
            <w:tcW w:type="dxa" w:w="4561"/>
            <w:shd w:val="clear" w:color="auto" w:fill="EAF0F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NFR-05-01</w:t>
            </w:r>
          </w:p>
        </w:tc>
        <w:tc>
          <w:tcPr>
            <w:tcW w:type="dxa" w:w="4561"/>
            <w:shd w:val="clear" w:color="auto" w:fill="EAF0F7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follow a modular, layered architecture that separates the frontend UI, backend API, and database layers, allowing each to be independently updated.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NFR-05-02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backend shall apply the service-layer pattern, keeping business logic in service files distinct from route controllers.</w:t>
            </w:r>
          </w:p>
        </w:tc>
      </w:tr>
      <w:tr>
        <w:tc>
          <w:tcPr>
            <w:tcW w:type="dxa" w:w="4561"/>
            <w:shd w:val="clear" w:color="auto" w:fill="EAF0F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NFR-05-03</w:t>
            </w:r>
          </w:p>
        </w:tc>
        <w:tc>
          <w:tcPr>
            <w:tcW w:type="dxa" w:w="4561"/>
            <w:shd w:val="clear" w:color="auto" w:fill="EAF0F7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All system modules, API endpoints, and custom hooks shall be documented to facilitate future maintenance and developer onboarding.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NFR-05-04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frontend shall use reusable UI components (Button, Input, ChatDrawer, etc.) to minimise code duplication across pages.</w:t>
            </w:r>
          </w:p>
        </w:tc>
      </w:tr>
    </w:tbl>
    <w:p/>
    <w:p>
      <w:pPr>
        <w:spacing w:before="200" w:after="40"/>
      </w:pPr>
      <w:r>
        <w:rPr>
          <w:b/>
          <w:color w:val="1F3664"/>
          <w:sz w:val="22"/>
        </w:rPr>
        <w:t>NFR-06  Reliability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56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Req. ID</w:t>
            </w:r>
          </w:p>
        </w:tc>
        <w:tc>
          <w:tcPr>
            <w:tcW w:type="dxa" w:w="4561"/>
            <w:shd w:val="clear" w:color="auto" w:fill="1F3864"/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Non-Functional Requirements</w:t>
            </w:r>
          </w:p>
        </w:tc>
      </w:tr>
      <w:tr>
        <w:tc>
          <w:tcPr>
            <w:tcW w:type="dxa" w:w="4561"/>
            <w:shd w:val="clear" w:color="auto" w:fill="EAF0F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NFR-06-01</w:t>
            </w:r>
          </w:p>
        </w:tc>
        <w:tc>
          <w:tcPr>
            <w:tcW w:type="dxa" w:w="4561"/>
            <w:shd w:val="clear" w:color="auto" w:fill="EAF0F7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maintain a minimum uptime of 99% to ensure uninterrupted access for students during their study sessions.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NFR-06-02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automatically log all errors and unhandled exceptions using a structured logging library (Winston) without disrupting active user sessions.</w:t>
            </w:r>
          </w:p>
        </w:tc>
      </w:tr>
      <w:tr>
        <w:tc>
          <w:tcPr>
            <w:tcW w:type="dxa" w:w="4561"/>
            <w:shd w:val="clear" w:color="auto" w:fill="EAF0F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NFR-06-03</w:t>
            </w:r>
          </w:p>
        </w:tc>
        <w:tc>
          <w:tcPr>
            <w:tcW w:type="dxa" w:w="4561"/>
            <w:shd w:val="clear" w:color="auto" w:fill="EAF0F7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handle network failures, API timeouts, and unexpected server errors gracefully by displaying informative messages to the user.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NFR-06-04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recover automatically from transient database connection failures through connection-pool retry mechanisms.</w:t>
            </w:r>
          </w:p>
        </w:tc>
      </w:tr>
    </w:tbl>
    <w:p/>
    <w:p>
      <w:pPr>
        <w:spacing w:before="200" w:after="40"/>
      </w:pPr>
      <w:r>
        <w:rPr>
          <w:b/>
          <w:color w:val="1F3664"/>
          <w:sz w:val="22"/>
        </w:rPr>
        <w:t>NFR-07  Scalability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4561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Req. ID</w:t>
            </w:r>
          </w:p>
        </w:tc>
        <w:tc>
          <w:tcPr>
            <w:tcW w:type="dxa" w:w="4561"/>
            <w:shd w:val="clear" w:color="auto" w:fill="1F3864"/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Non-Functional Requirements</w:t>
            </w:r>
          </w:p>
        </w:tc>
      </w:tr>
      <w:tr>
        <w:tc>
          <w:tcPr>
            <w:tcW w:type="dxa" w:w="4561"/>
            <w:shd w:val="clear" w:color="auto" w:fill="EAF0F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NFR-07-01</w:t>
            </w:r>
          </w:p>
        </w:tc>
        <w:tc>
          <w:tcPr>
            <w:tcW w:type="dxa" w:w="4561"/>
            <w:shd w:val="clear" w:color="auto" w:fill="EAF0F7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system shall use PostgreSQL connection pooling to efficiently manage increasing numbers of concurrent database connections.</w:t>
            </w:r>
          </w:p>
        </w:tc>
      </w:tr>
      <w:tr>
        <w:tc>
          <w:tcPr>
            <w:tcW w:type="dxa" w:w="45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NFR-07-02</w:t>
            </w:r>
          </w:p>
        </w:tc>
        <w:tc>
          <w:tcPr>
            <w:tcW w:type="dxa" w:w="4561"/>
            <w:shd w:val="clear" w:color="auto" w:fill="FFFFFF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backend architecture shall support horizontal scaling (multiple server instances) to accommodate a growing user base without architectural changes.</w:t>
            </w:r>
          </w:p>
        </w:tc>
      </w:tr>
      <w:tr>
        <w:tc>
          <w:tcPr>
            <w:tcW w:type="dxa" w:w="4561"/>
            <w:shd w:val="clear" w:color="auto" w:fill="EAF0F7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000000"/>
                <w:sz w:val="20"/>
              </w:rPr>
              <w:t>NFR-07-03</w:t>
            </w:r>
          </w:p>
        </w:tc>
        <w:tc>
          <w:tcPr>
            <w:tcW w:type="dxa" w:w="4561"/>
            <w:shd w:val="clear" w:color="auto" w:fill="EAF0F7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The frontend build shall be optimised via Next.js static generation and code-splitting to reduce initial load times as the content library grows.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