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Good day, sir Marion!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 relation to our on-going marketing efforts for our website and social media accounts' launching, I am writing to seek approval on having a starting budget fund of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Php 1,500.00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which will be used for our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15-days advertising campaigns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specifically for growth, visibility, promotion and engagements in our social platforms.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This, if approved, will only be reimbursed when receipts are gathered and received.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Thank you very much.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0A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Elizayra Bunsoy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Senior Marketing &amp; Tele-sales Officer</w:t>
        <w:br w:type="textWrapping"/>
        <w:br w:type="textWrapping"/>
        <w:t xml:space="preserve">iMadz Solutions and Technologies Inc.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https://imadzsolutions.net/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09363392851</w:t>
        <w:br w:type="textWrapping"/>
        <w:t xml:space="preserve">Ortigas, Pasig City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dzsolution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