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left="0" w:right="0"/>
        <w:jc w:val="center"/>
        <w:rPr>
          <w:rFonts w:ascii="Quattrocento Sans" w:hAnsi="Quattrocento San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0" w:right="0"/>
        <w:jc w:val="center"/>
        <w:rPr>
          <w:rFonts w:ascii="Quattrocento Sans" w:hAnsi="Quattrocento San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CONTRATO DE PRESTACIÓN DE SERVICIOS DE RECEPCIÓN DE PAGOS POR CUENTA DE TERCEROS Y GESTIONES DE COBRANZA</w:t>
      </w:r>
    </w:p>
    <w:p>
      <w:pPr>
        <w:pStyle w:val="normal1"/>
        <w:keepNext w:val="false"/>
        <w:keepLines w:val="false"/>
        <w:pageBreakBefore w:val="false"/>
        <w:widowControl w:val="false"/>
        <w:shd w:val="clear" w:fill="auto"/>
        <w:spacing w:lineRule="auto" w:line="240" w:before="173"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Nosotros:</w:t>
      </w:r>
    </w:p>
    <w:p>
      <w:pPr>
        <w:pStyle w:val="normal1"/>
        <w:keepNext w:val="false"/>
        <w:keepLines w:val="false"/>
        <w:pageBreakBefore w:val="false"/>
        <w:widowControl w:val="false"/>
        <w:numPr>
          <w:ilvl w:val="0"/>
          <w:numId w:val="6"/>
        </w:numPr>
        <w:shd w:val="clear" w:fill="auto"/>
        <w:tabs>
          <w:tab w:val="clear" w:pos="720"/>
          <w:tab w:val="left" w:pos="812" w:leader="none"/>
          <w:tab w:val="left" w:pos="3058" w:leader="none"/>
          <w:tab w:val="left" w:pos="4152" w:leader="none"/>
          <w:tab w:val="left" w:pos="5922" w:leader="none"/>
        </w:tabs>
        <w:spacing w:lineRule="auto" w:line="276" w:before="240"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JOSÉ ANDRES ASENSIO HERNÁNDEZ,</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{edadAndres} años de edad, casado, Comerciante, guatemalteco, de este domicilio, me identifico con el Documento Personal de Identificación, Código Único de Identificación dos mil quinientos cincuenta y tres, cero cinco mil cincuenta y dos, cero ciento uno (2553 05052 0101), extendido por el Registro Nacional de las Personas –RENAP- República de Guatemala, Centroamérica. Actúo en mi calidad de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 xml:space="preserve">Administrador Único y Representante Legal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la entidad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CUBE INVESTMENTS, SOCIEDAD ANÓNIMA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lo que acredito con el Acta Notarial en la que consta mi nombramiento, autorizada en la ciudad de Guatemala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 (en adelante también referido como la “Contratista” o “Cube Investments”),</w:t>
      </w:r>
    </w:p>
    <w:p>
      <w:pPr>
        <w:pStyle w:val="normal1"/>
        <w:keepNext w:val="false"/>
        <w:keepLines w:val="false"/>
        <w:pageBreakBefore w:val="false"/>
        <w:widowControl w:val="false"/>
        <w:numPr>
          <w:ilvl w:val="0"/>
          <w:numId w:val="6"/>
        </w:numPr>
        <w:shd w:val="clear" w:fill="auto"/>
        <w:tabs>
          <w:tab w:val="clear" w:pos="720"/>
          <w:tab w:val="left" w:pos="898" w:leader="none"/>
          <w:tab w:val="left" w:pos="1649" w:leader="none"/>
          <w:tab w:val="left" w:pos="3963" w:leader="none"/>
          <w:tab w:val="left" w:pos="7050" w:leader="none"/>
        </w:tabs>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bookmarkStart w:id="0" w:name="_heading=h.v31hv44zxwf2"/>
      <w:bookmarkEnd w:id="0"/>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RICHARD KACHLER ORTEGA,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{edadRichard} años de edad, soltero, Licenciado en Administración Hotelera, guatemalteco, de este domicilio, me identifico con Documento Personal de Identificación, Código Único de Identificación un mil quinientos setenta y tres, sesenta y seis mil ciento noventa y siete, cero ciento uno (1573 66197 0101), extendido por el Registro Nacional de las Personas –RENAP- República de Guatemala Centroamérica, actuando en mi calidad de </w:t>
      </w:r>
      <w:r>
        <w:rPr>
          <w:rFonts w:eastAsia="Quattrocento Sans" w:cs="Quattrocento Sans"/>
          <w:b/>
          <w:bCs/>
          <w:i/>
          <w:iCs/>
          <w:caps w:val="false"/>
          <w:smallCaps w:val="false"/>
          <w:strike w:val="false"/>
          <w:dstrike w:val="false"/>
          <w:color w:val="000000"/>
          <w:position w:val="0"/>
          <w:sz w:val="20"/>
          <w:szCs w:val="20"/>
          <w:u w:val="none"/>
          <w:shd w:fill="auto" w:val="clear"/>
          <w:vertAlign w:val="baseline"/>
        </w:rPr>
        <w:t>Administrador Y Representante Legal,</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de la entidad mercantil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RDBE, SOCIEDAD ANÓNIMA,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lo que acredito con el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 (en adelante también referido como la entidad “GARANTE”); y,</w:t>
      </w:r>
    </w:p>
    <w:p>
      <w:pPr>
        <w:pStyle w:val="normal1"/>
        <w:keepNext w:val="false"/>
        <w:keepLines w:val="false"/>
        <w:pageBreakBefore w:val="false"/>
        <w:widowControl w:val="false"/>
        <w:numPr>
          <w:ilvl w:val="0"/>
          <w:numId w:val="6"/>
        </w:numPr>
        <w:shd w:val="clear" w:fill="auto"/>
        <w:tabs>
          <w:tab w:val="clear" w:pos="720"/>
          <w:tab w:val="left" w:pos="898" w:leader="none"/>
          <w:tab w:val="left" w:pos="1649" w:leader="none"/>
          <w:tab w:val="left" w:pos="3963" w:leader="none"/>
          <w:tab w:val="left" w:pos="7050" w:leader="none"/>
        </w:tabs>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b/>
          <w:bCs/>
          <w:sz w:val="20"/>
          <w:szCs w:val="20"/>
        </w:rPr>
        <w:t>{nombreCompleto}</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de </w:t>
      </w:r>
      <w:sdt>
        <w:sdtPr>
          <w:tag w:val="goog_rdk_3"/>
          <w:id w:val="-653319761"/>
        </w:sdtPr>
        <w:sdtConten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{edad}</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años de edad, {estadoCivil}, {profesion}, {nacionalidad}, de este domicilio, me identifico con Documento Personal de Identificación, Código Único de Identificación </w:t>
      </w:r>
      <w:sdt>
        <w:sdtPr>
          <w:tag w:val="goog_rdk_7"/>
          <w:id w:val="-994974017"/>
        </w:sdtPr>
        <w:sdtConten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{dpiTexto}</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extendido por el Registro Nacional de las Personas –RENAP-, República de Guatemala, Centroamérica, actúo en representación de la entidad denominada </w:t>
      </w:r>
      <w:r>
        <w:rPr>
          <w:rFonts w:eastAsia="Quattrocento Sans" w:cs="Quattrocento Sans"/>
          <w:b/>
          <w:bCs/>
          <w:i w:val="false"/>
          <w:iCs w:val="false"/>
          <w:caps w:val="false"/>
          <w:smallCaps w:val="false"/>
          <w:strike w:val="false"/>
          <w:dstrike w:val="false"/>
          <w:color w:val="000000"/>
          <w:position w:val="0"/>
          <w:sz w:val="20"/>
          <w:szCs w:val="20"/>
          <w:u w:val="none"/>
          <w:shd w:fill="auto" w:val="clear"/>
          <w:vertAlign w:val="baseline"/>
        </w:rPr>
        <w:t>{nombreSociedadInversionista}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calidad que acredito con el Acta Notarial que contiene mi nombramiento, autorizada en esta ciudad el día {fechaAutorizacionActaNombramiento}, por el Notario {nombreNotarioActaNombramiento} acta que se encuentra inscrita en el Registro Mercantil General de la República al número de Registro: {numeroRegistroSociedad} Folio: {folioRegistroSociedad}; Libro: {libroRegistroSociedad}  de Auxiliares de Comercio (en adelante referido como el “Contratante”)</w:t>
      </w:r>
    </w:p>
    <w:p>
      <w:pPr>
        <w:pStyle w:val="normal1"/>
        <w:keepNext w:val="false"/>
        <w:keepLines w:val="false"/>
        <w:pageBreakBefore w:val="false"/>
        <w:widowControl w:val="false"/>
        <w:shd w:val="clear" w:fill="auto"/>
        <w:spacing w:lineRule="auto" w:line="276" w:before="24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Expresamos ser de las generales indicadas; hallarnos en el libre ejercicio de nuestros derechos civiles; y, que en las calidades con que actuamos, comparecemos con el objeto de celebrar CONTRATO DE PRESTACIÓN DE SERVICIOS DE RECEPCIÓN DE PAGOS POR</w:t>
      </w:r>
    </w:p>
    <w:p>
      <w:pPr>
        <w:pStyle w:val="normal1"/>
        <w:keepNext w:val="false"/>
        <w:keepLines w:val="false"/>
        <w:pageBreakBefore w:val="false"/>
        <w:widowControl w:val="false"/>
        <w:shd w:val="clear" w:fill="auto"/>
        <w:spacing w:lineRule="auto" w:line="264"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CUENTA DE TERCEROS Y GESTIONES DE COBRANZA (en adelante “Contrato de Servicios”</w:t>
      </w:r>
    </w:p>
    <w:p>
      <w:pPr>
        <w:pStyle w:val="normal1"/>
        <w:keepNext w:val="false"/>
        <w:keepLines w:val="false"/>
        <w:pageBreakBefore w:val="false"/>
        <w:widowControl w:val="false"/>
        <w:shd w:val="clear" w:fill="auto"/>
        <w:spacing w:lineRule="auto" w:line="240" w:before="39"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 simplemente el “Contrato”), para lo cual manifestamos lo siguiente:</w:t>
      </w:r>
    </w:p>
    <w:p>
      <w:pPr>
        <w:pStyle w:val="normal1"/>
        <w:keepNext w:val="false"/>
        <w:keepLines w:val="false"/>
        <w:pageBreakBefore w:val="false"/>
        <w:widowControl w:val="false"/>
        <w:shd w:val="clear" w:fill="auto"/>
        <w:spacing w:lineRule="auto" w:line="240" w:before="1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PRIMERA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ANTECEDENTES:</w:t>
      </w:r>
    </w:p>
    <w:p>
      <w:pPr>
        <w:pStyle w:val="normal1"/>
        <w:keepNext w:val="false"/>
        <w:keepLines w:val="false"/>
        <w:pageBreakBefore w:val="false"/>
        <w:widowControl w:val="false"/>
        <w:shd w:val="clear" w:fill="auto"/>
        <w:tabs>
          <w:tab w:val="clear" w:pos="720"/>
          <w:tab w:val="left" w:pos="5422" w:leader="none"/>
        </w:tabs>
        <w:spacing w:lineRule="auto" w:line="276" w:before="241"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partes manifiestan que, con fecha {fechaInicioContrato} suscribieron un Acuerdo Privado de Inversión (el “Acuerdo”), en el cual estipularon y acordaron las condiciones bajo las cuales el contratante, a su sola discreción, podrá invertir recursos monetarios por medio de la plataforma propiedad de la Contratista. En consecuencia, el presente Contrato de Servicios debe interpretarse dentro del marco, estipulaciones y limitaciones del referido Acuerdo.</w:t>
      </w:r>
    </w:p>
    <w:p>
      <w:pPr>
        <w:pStyle w:val="normal1"/>
        <w:keepNext w:val="false"/>
        <w:keepLines w:val="false"/>
        <w:pageBreakBefore w:val="false"/>
        <w:widowControl w:val="false"/>
        <w:shd w:val="clear" w:fill="auto"/>
        <w:spacing w:lineRule="auto" w:line="276" w:before="20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manifiesta que, derivado del Acuerdo de Inversión, podrá participar bajo distintas modalidades de inversión, incluyendo: (i) la celebración de contratos de cesión de créditos, o (ii) la celebración de contratos de reconocimiento de deuda con distintas personas naturales o jurídicas (los “Contratos de Deuda”), mismos que se formalizarán en sus respectivos instrumentos y que podrán adjuntarse como anexos al presente Contrato, de tiempo en tiempo. Cada Contrato de Deuda reflejará el capital adeudado a favor de el contratante y los intereses pactados conforme a sus condiciones individuales; así mismo, cada cesión de deuda que se le haga a su favor reflejará también las condiciones acordadas en su momento con el cliente en particular.</w:t>
      </w:r>
    </w:p>
    <w:p>
      <w:pPr>
        <w:pStyle w:val="normal1"/>
        <w:keepNext w:val="false"/>
        <w:keepLines w:val="false"/>
        <w:pageBreakBefore w:val="false"/>
        <w:widowControl w:val="false"/>
        <w:shd w:val="clear" w:fill="auto"/>
        <w:spacing w:lineRule="auto" w:line="276" w:before="201"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Asimismo, derivado de la forma de participación en la inversión elegida, las partes acuerdan que todo pago de capital e intereses a favor de el contratante se canalizará a través de Cube Investments, S.A., quien, en calidad de administrador, receptora de pagos por cuenta de tercero y agente de cobranza, recibirá dichos pagos y los trasladará a el contratante conforme a lo estipulado en cada Contrato de Deuda y el Acuerdo de Inversión. La responsabilidad de Cube Investments, S.A. se limita a la correcta administración y traslado de los fondos efectivamente recibidos, sin garantizar el pago oportuno o íntegro por parte del deudor.</w:t>
      </w:r>
    </w:p>
    <w:p>
      <w:pPr>
        <w:pStyle w:val="normal1"/>
        <w:keepNext w:val="false"/>
        <w:keepLines w:val="false"/>
        <w:pageBreakBefore w:val="false"/>
        <w:widowControl w:val="false"/>
        <w:shd w:val="clear" w:fill="auto"/>
        <w:spacing w:lineRule="auto" w:line="276" w:before="201"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De igual forma, cuando la modalidad elegida consista en la adquisición de créditos en cartera activa, el contratante acepta recibir dichos créditos en el estado en que se encuentren, incluyendo las condiciones y garantías constituidas, sin que exista obligación de Cube Investments, S.A. de subrogar, novar o modificar tales condiciones.</w:t>
      </w:r>
    </w:p>
    <w:p>
      <w:pPr>
        <w:pStyle w:val="normal1"/>
        <w:keepNext w:val="false"/>
        <w:keepLines w:val="false"/>
        <w:pageBreakBefore w:val="false"/>
        <w:widowControl w:val="false"/>
        <w:shd w:val="clear" w:fill="auto"/>
        <w:spacing w:lineRule="auto" w:line="240" w:before="199"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SEGUNDA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OBJETO DEL CONTRATO Y HONORARIOS DEL CONTRATISTA.</w:t>
      </w:r>
    </w:p>
    <w:p>
      <w:pPr>
        <w:pStyle w:val="normal1"/>
        <w:keepNext w:val="false"/>
        <w:keepLines w:val="false"/>
        <w:pageBreakBefore w:val="false"/>
        <w:widowControl w:val="false"/>
        <w:shd w:val="clear" w:fill="auto"/>
        <w:spacing w:lineRule="auto" w:line="276" w:before="241"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 medio del presente Contrato, Cube Investments, Sociedad Anónima (la “Contratista”) se compromete a prestar servicios de administración, consistentes en la recepción de pagos por cuenta de terceros y en la realización de todas las gestiones ordinarias de cobro, judiciales y extrajudiciales, respecto de los pagos de capital e intereses pactados a favor del contratante en cada Contrato de Deuda. Las Partes acuerdan expresamente que las obligaciones de la Contratista son de medio y no de resultado, por lo que no garantiza el pago oportuno ni íntegro del deudor.</w:t>
      </w:r>
    </w:p>
    <w:p>
      <w:pPr>
        <w:pStyle w:val="normal1"/>
        <w:keepNext w:val="false"/>
        <w:keepLines w:val="false"/>
        <w:pageBreakBefore w:val="false"/>
        <w:widowControl w:val="false"/>
        <w:shd w:val="clear" w:fill="auto"/>
        <w:spacing w:lineRule="auto" w:line="276" w:before="241"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Como contraprestación, la Contratista percibirá honorarios equivalentes al {porcentajeLetrasCube} por ciento ({porcentajeNumeroCube}%) de los intereses efectivamente cobrados en nombre del contratante que percibirá honorarios equivalentes al {porcentajeLetrasInversionista} por ciento ({porcentajeNumeroInversionista}%) Dichos honorarios se calcularán y liquidarán de forma mensual durante la vigencia del presente Contrato y conforme a cada Contrato de Deuda.</w:t>
      </w:r>
    </w:p>
    <w:p>
      <w:pPr>
        <w:pStyle w:val="normal1"/>
        <w:keepNext w:val="false"/>
        <w:keepLines w:val="false"/>
        <w:pageBreakBefore w:val="false"/>
        <w:widowControl w:val="false"/>
        <w:shd w:val="clear" w:fill="auto"/>
        <w:spacing w:lineRule="auto" w:line="276" w:before="205"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autoriza de forma expresa e irrevocable a la Contratista a deducir y retener sus honorarios directamente de los pagos de intereses que reciba por cuenta del contratante, reintegrando únicamente el saldo neto correspondiente, incluyendo el capital recibido, siempre y cuando no haya optado por cualquier modalidad de inversión en contario, conforme al acuerdo de inversión.</w:t>
      </w:r>
    </w:p>
    <w:p>
      <w:pPr>
        <w:pStyle w:val="normal1"/>
        <w:keepNext w:val="false"/>
        <w:keepLines w:val="false"/>
        <w:pageBreakBefore w:val="false"/>
        <w:widowControl w:val="false"/>
        <w:shd w:val="clear" w:fill="auto"/>
        <w:spacing w:lineRule="auto" w:line="276" w:before="202" w:after="0"/>
        <w:ind w:hanging="0" w:left="566" w:right="27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Para efectos de cálculo, la tasa de interés pactada en los Contratos de Deuda no podrá ser inferior al uno punto cinco por ciento (1.5%) mensual más IVA, salvo autorización expresa y por escrito de el contratante.</w:t>
      </w:r>
    </w:p>
    <w:p>
      <w:pPr>
        <w:pStyle w:val="normal1"/>
        <w:keepNext w:val="false"/>
        <w:keepLines w:val="false"/>
        <w:pageBreakBefore w:val="false"/>
        <w:widowControl w:val="false"/>
        <w:shd w:val="clear" w:fill="auto"/>
        <w:spacing w:lineRule="auto" w:line="240" w:before="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Cada Parte será responsable de sus propias obligaciones tributarias derivadas de los distintos contratos celebrados en el marco del presente instrumento. El contratante reconoce que le corresponde emitir las facturas por los intereses que reciba del Deudor, conforme a la legislación aplicable.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el contratante no emita la factura correspondiente en el plazo legal, la Contratista no asumirá responsabilidad alguna por dicho incumplimiento. En tal supuesto, Cube Investments, Sociedad Anónima tendrá derecho a emitir la factura por la cuota total recibida de parte del Deudor y a trasladar a el contratante únicamente el monto neto que corresponda, descontando los impuestos aplicables.</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que cualquier inversión incurra en atraso o impago por parte del Deudor, la Contratista tendrá la facultad de iniciar y continuar, a su sola discreción, las gestiones de cobro judicial correspondientes, sin requerir autorización previa de el contratante.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costos, honorarios y gastos derivados de dichas gestiones podrán ser asumidos inicialmente por la Contratista como parte de su gestión de recuperación, y serán recuperados con cargo a los montos efectivamente percibidos del Deudor, o integrados dentro de la estructura de costos de la operación, sin que ello implique obligación de pago directo o desembolso por parte de el contratante.</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reconoce que la gestión judicial forma parte del servicio integral de administración de cartera prestado por la Contratista.</w:t>
      </w:r>
    </w:p>
    <w:p>
      <w:pPr>
        <w:pStyle w:val="normal1"/>
        <w:keepNext w:val="false"/>
        <w:keepLines w:val="false"/>
        <w:pageBreakBefore w:val="false"/>
        <w:widowControl w:val="false"/>
        <w:shd w:val="clear" w:fill="auto"/>
        <w:spacing w:lineRule="auto" w:line="276" w:before="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TERCERA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GESTION DE COBRANZA Y RECEPCIÓN DE PAGOS POR CUENTA DE TERCEROS</w:t>
      </w:r>
    </w:p>
    <w:p>
      <w:pPr>
        <w:pStyle w:val="normal1"/>
        <w:keepNext w:val="false"/>
        <w:keepLines w:val="false"/>
        <w:pageBreakBefore w:val="false"/>
        <w:widowControl w:val="false"/>
        <w:shd w:val="clear" w:fill="auto"/>
        <w:spacing w:lineRule="auto" w:line="240" w:before="81"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76" w:before="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se obliga a prestar servicios de gestión de cobro y recepción de pagos por cuenta del contratante, consistentes en realizar todas las gestiones ordinarias necesarias para procurar el cobro de capital e intereses a favor del contratante frente al Deudor respectivos, sin que ello implique obligación de resultado, sino de medios.</w:t>
      </w:r>
    </w:p>
    <w:p>
      <w:pPr>
        <w:pStyle w:val="normal1"/>
        <w:keepNext w:val="false"/>
        <w:keepLines w:val="false"/>
        <w:pageBreakBefore w:val="false"/>
        <w:widowControl w:val="false"/>
        <w:shd w:val="clear" w:fill="auto"/>
        <w:spacing w:lineRule="auto" w:line="276" w:before="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numPr>
          <w:ilvl w:val="1"/>
          <w:numId w:val="6"/>
        </w:numPr>
        <w:shd w:val="clear" w:fill="auto"/>
        <w:tabs>
          <w:tab w:val="clear" w:pos="720"/>
          <w:tab w:val="left" w:pos="925" w:leader="none"/>
        </w:tabs>
        <w:spacing w:lineRule="auto" w:line="240" w:before="1" w:after="0"/>
        <w:ind w:hanging="359" w:left="925"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Gestión de inversiones y cobro</w:t>
      </w:r>
    </w:p>
    <w:p>
      <w:pPr>
        <w:pStyle w:val="normal1"/>
        <w:tabs>
          <w:tab w:val="clear" w:pos="720"/>
          <w:tab w:val="left" w:pos="925" w:leader="none"/>
        </w:tabs>
        <w:spacing w:lineRule="auto" w:line="240" w:before="1" w:after="0"/>
        <w:ind w:hanging="0" w:left="566"/>
        <w:rPr>
          <w:sz w:val="20"/>
          <w:szCs w:val="20"/>
        </w:rPr>
      </w:pPr>
      <w:r>
        <w:rPr>
          <w:sz w:val="20"/>
          <w:szCs w:val="20"/>
        </w:rPr>
        <w:t>Los servicios de gestión de inversiones y cobro que la Contratista efectuará en nombre y favor de el contratante incluirán:</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00"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Presentar a el contratante cada nueva inversión que cumpla con los criterios establecidos en el Acuerdo para su confirmación escrita.</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02"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Formalizar el Contrato de Deuda correspondiente una vez aceptada la inversión por el contratante.</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199" w:after="0"/>
        <w:ind w:hanging="360" w:left="720" w:right="28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Recibir los desembolsos de el contratante y trasladarlos conforme a las instrucciones acordadas.</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00" w:after="0"/>
        <w:ind w:hanging="360" w:left="720" w:right="27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Incorporar cada Contrato de Deuda como anexo al presente Contrato y llevar un registro actualizado de inversiones, saldos, moras y estatus de la cartera de el contratante.</w:t>
      </w:r>
    </w:p>
    <w:p>
      <w:pPr>
        <w:pStyle w:val="normal1"/>
        <w:keepNext w:val="false"/>
        <w:keepLines w:val="false"/>
        <w:pageBreakBefore w:val="false"/>
        <w:widowControl w:val="false"/>
        <w:numPr>
          <w:ilvl w:val="0"/>
          <w:numId w:val="5"/>
        </w:numPr>
        <w:shd w:val="clear" w:fill="auto"/>
        <w:tabs>
          <w:tab w:val="left" w:pos="720" w:leader="none"/>
        </w:tabs>
        <w:spacing w:lineRule="auto" w:line="240" w:before="199"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Emitir recordatorios mensuales a el Deudor sobre fechas, montos y formas de pago.</w:t>
      </w:r>
    </w:p>
    <w:p>
      <w:pPr>
        <w:pStyle w:val="normal1"/>
        <w:keepNext w:val="false"/>
        <w:keepLines w:val="false"/>
        <w:pageBreakBefore w:val="false"/>
        <w:widowControl w:val="false"/>
        <w:numPr>
          <w:ilvl w:val="0"/>
          <w:numId w:val="5"/>
        </w:numPr>
        <w:shd w:val="clear" w:fill="auto"/>
        <w:tabs>
          <w:tab w:val="left" w:pos="720" w:leader="none"/>
        </w:tabs>
        <w:spacing w:lineRule="auto" w:line="240" w:before="241"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Atender consultas del Deudor respecto de los pagos pendientes.</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40"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registro exacto de su gestión de cobro, pudiendo la Contratista realizar acuerdos extrajudiciales de pago en caso de incumplimiento del Deudor, sin necesidad de autorización previa de el contratante, siempre que los considere razonables y beneficiosos para la recuperación de fondos.</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200" w:after="0"/>
        <w:ind w:hanging="360" w:left="720"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Coordinar con el Deudor la emisión y entrega de facturas por intereses, cuando corresponda.</w:t>
      </w:r>
    </w:p>
    <w:p>
      <w:pPr>
        <w:pStyle w:val="normal1"/>
        <w:keepNext w:val="false"/>
        <w:keepLines w:val="false"/>
        <w:pageBreakBefore w:val="false"/>
        <w:widowControl w:val="false"/>
        <w:numPr>
          <w:ilvl w:val="0"/>
          <w:numId w:val="5"/>
        </w:numPr>
        <w:shd w:val="clear" w:fill="auto"/>
        <w:tabs>
          <w:tab w:val="left" w:pos="718" w:leader="none"/>
          <w:tab w:val="left" w:pos="720" w:leader="none"/>
        </w:tabs>
        <w:spacing w:lineRule="auto" w:line="276" w:before="199" w:after="0"/>
        <w:ind w:hanging="360" w:left="720" w:right="28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modalidad de cartera activa, el Inversionista acepta expresamente la cesión de créditos en el estado en que se encuentren, incluyendo garantías ya constituidas.</w:t>
      </w:r>
    </w:p>
    <w:p>
      <w:pPr>
        <w:pStyle w:val="normal1"/>
        <w:keepNext w:val="false"/>
        <w:keepLines w:val="false"/>
        <w:pageBreakBefore w:val="false"/>
        <w:widowControl w:val="false"/>
        <w:numPr>
          <w:ilvl w:val="1"/>
          <w:numId w:val="6"/>
        </w:numPr>
        <w:shd w:val="clear" w:fill="auto"/>
        <w:tabs>
          <w:tab w:val="clear" w:pos="720"/>
          <w:tab w:val="left" w:pos="777" w:leader="none"/>
        </w:tabs>
        <w:spacing w:lineRule="auto" w:line="240" w:before="202" w:after="0"/>
        <w:ind w:hanging="211" w:left="777"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Recepción de pagos</w:t>
      </w:r>
    </w:p>
    <w:p>
      <w:pPr>
        <w:pStyle w:val="normal1"/>
        <w:keepNext w:val="false"/>
        <w:keepLines w:val="false"/>
        <w:pageBreakBefore w:val="false"/>
        <w:widowControl w:val="false"/>
        <w:shd w:val="clear" w:fill="auto"/>
        <w:spacing w:lineRule="auto" w:line="276" w:before="240"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prestará los siguientes servicios de recepción de pagos por cuenta del contratante:</w:t>
      </w:r>
    </w:p>
    <w:p>
      <w:pPr>
        <w:pStyle w:val="normal1"/>
        <w:keepNext w:val="false"/>
        <w:keepLines w:val="false"/>
        <w:pageBreakBefore w:val="false"/>
        <w:widowControl w:val="false"/>
        <w:numPr>
          <w:ilvl w:val="0"/>
          <w:numId w:val="4"/>
        </w:numPr>
        <w:shd w:val="clear" w:fill="auto"/>
        <w:tabs>
          <w:tab w:val="left" w:pos="720" w:leader="none"/>
        </w:tabs>
        <w:spacing w:lineRule="auto" w:line="240" w:before="200"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Recibir pagos de capital e intereses efectuados por el Deudor.</w:t>
      </w:r>
    </w:p>
    <w:p>
      <w:pPr>
        <w:pStyle w:val="normal1"/>
        <w:keepNext w:val="false"/>
        <w:keepLines w:val="false"/>
        <w:pageBreakBefore w:val="false"/>
        <w:widowControl w:val="false"/>
        <w:numPr>
          <w:ilvl w:val="0"/>
          <w:numId w:val="4"/>
        </w:numPr>
        <w:shd w:val="clear" w:fill="auto"/>
        <w:tabs>
          <w:tab w:val="left" w:pos="720" w:leader="none"/>
        </w:tabs>
        <w:spacing w:lineRule="auto" w:line="240" w:before="241"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Emitir recibos de caja con detalle del monto y su aplicación a capital e intereses.</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38"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registros contables separados e independientes para los pagos de el contratante.</w:t>
      </w:r>
    </w:p>
    <w:p>
      <w:pPr>
        <w:pStyle w:val="normal1"/>
        <w:keepNext w:val="false"/>
        <w:keepLines w:val="false"/>
        <w:pageBreakBefore w:val="false"/>
        <w:widowControl w:val="false"/>
        <w:numPr>
          <w:ilvl w:val="0"/>
          <w:numId w:val="4"/>
        </w:numPr>
        <w:shd w:val="clear" w:fill="auto"/>
        <w:tabs>
          <w:tab w:val="left" w:pos="718" w:leader="none"/>
          <w:tab w:val="left" w:pos="720" w:leader="none"/>
        </w:tabs>
        <w:spacing w:lineRule="auto" w:line="276" w:before="202" w:after="0"/>
        <w:ind w:hanging="360" w:left="720"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Mantener en custodia los fondos recibidos durante el período mensual y liquidarlos oportunamente, deduciendo sus honorarios conforme la cláusula segunda.</w:t>
      </w:r>
    </w:p>
    <w:p>
      <w:pPr>
        <w:pStyle w:val="normal1"/>
        <w:keepNext w:val="false"/>
        <w:keepLines w:val="false"/>
        <w:pageBreakBefore w:val="false"/>
        <w:widowControl w:val="false"/>
        <w:numPr>
          <w:ilvl w:val="0"/>
          <w:numId w:val="4"/>
        </w:numPr>
        <w:shd w:val="clear" w:fill="auto"/>
        <w:tabs>
          <w:tab w:val="left" w:pos="720" w:leader="none"/>
        </w:tabs>
        <w:spacing w:lineRule="auto" w:line="240" w:before="199" w:after="0"/>
        <w:ind w:hanging="360" w:left="72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Llevar registro exacto y verificable de los pagos recibidos.</w:t>
      </w:r>
    </w:p>
    <w:p>
      <w:pPr>
        <w:pStyle w:val="normal1"/>
        <w:keepNext w:val="false"/>
        <w:keepLines w:val="false"/>
        <w:pageBreakBefore w:val="false"/>
        <w:widowControl w:val="false"/>
        <w:numPr>
          <w:ilvl w:val="1"/>
          <w:numId w:val="6"/>
        </w:numPr>
        <w:shd w:val="clear" w:fill="auto"/>
        <w:tabs>
          <w:tab w:val="clear" w:pos="720"/>
          <w:tab w:val="left" w:pos="787" w:leader="none"/>
        </w:tabs>
        <w:spacing w:lineRule="auto" w:line="240" w:before="100" w:after="0"/>
        <w:ind w:hanging="221" w:left="787"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Liquidaciones mensuales</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41" w:after="0"/>
        <w:ind w:hanging="360" w:left="720" w:right="28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realizará liquidaciones mensuales de los pagos recibidos, que remitirá a el contratante a más tardar el día diez del mes siguiente (o día hábil inmediato).</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199" w:after="0"/>
        <w:ind w:hanging="360" w:left="720"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Dichas liquidaciones detallarán por separado capital, intereses y honorarios de la Contratista.</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0" w:after="0"/>
        <w:ind w:hanging="360" w:left="720"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tendrá cinco (5) días hábiles para presentar consultas u objeciones sobre los honorarios. Transcurrido dicho plazo sin objeción, la liquidación se tendrá por aceptada.</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1" w:after="0"/>
        <w:ind w:hanging="360" w:left="720"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Una vez aceptada o validada la liquidación, la Contratista procederá a hacerse pago de sus honorarios y a trasladar a el contratante el saldo neto, mediante depósito, transferencia o cheque a la cuenta registrada.</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0" w:after="0"/>
        <w:ind w:hanging="360" w:left="720" w:right="277"/>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pago al Inversionista podrá realizarse mediante cesión de créditos activos equivalentes, conforme lo estipulado en el Acuerdo, entendiéndose que el Inversionista acepta los créditos en el estado en que se encuentren.</w:t>
      </w:r>
    </w:p>
    <w:p>
      <w:pPr>
        <w:pStyle w:val="normal1"/>
        <w:keepNext w:val="false"/>
        <w:keepLines w:val="false"/>
        <w:pageBreakBefore w:val="false"/>
        <w:widowControl w:val="false"/>
        <w:numPr>
          <w:ilvl w:val="0"/>
          <w:numId w:val="3"/>
        </w:numPr>
        <w:shd w:val="clear" w:fill="auto"/>
        <w:tabs>
          <w:tab w:val="left" w:pos="718" w:leader="none"/>
          <w:tab w:val="left" w:pos="720" w:leader="none"/>
        </w:tabs>
        <w:spacing w:lineRule="auto" w:line="276" w:before="201" w:after="0"/>
        <w:ind w:hanging="360" w:left="720" w:right="277"/>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Alternativamente, el Inversionista podrá instruir la reinversión de sus utilidades conforme a la carta de instrucciones anexa al Acuerdo.</w:t>
      </w:r>
    </w:p>
    <w:p>
      <w:pPr>
        <w:pStyle w:val="normal1"/>
        <w:keepNext w:val="false"/>
        <w:keepLines w:val="false"/>
        <w:pageBreakBefore w:val="false"/>
        <w:widowControl w:val="false"/>
        <w:numPr>
          <w:ilvl w:val="1"/>
          <w:numId w:val="6"/>
        </w:numPr>
        <w:shd w:val="clear" w:fill="auto"/>
        <w:tabs>
          <w:tab w:val="clear" w:pos="720"/>
          <w:tab w:val="left" w:pos="803" w:leader="none"/>
        </w:tabs>
        <w:spacing w:lineRule="auto" w:line="240" w:before="200" w:after="0"/>
        <w:ind w:hanging="237" w:left="803"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Registros contables</w:t>
      </w:r>
    </w:p>
    <w:p>
      <w:pPr>
        <w:pStyle w:val="normal1"/>
        <w:keepNext w:val="false"/>
        <w:keepLines w:val="false"/>
        <w:pageBreakBefore w:val="false"/>
        <w:widowControl w:val="false"/>
        <w:shd w:val="clear" w:fill="auto"/>
        <w:spacing w:lineRule="auto" w:line="276" w:before="24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llevará un registro completo y preciso de todas las operaciones derivadas del presente Contrato y del Acuerdo. Los registros de la Contratista prevalecerán frente a los de el contratante, siempre que estén respaldados por documentos derivados de transacciones efectivamente realizadas.</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CUARTA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OBLIGACIONES DE LAS PARTES.</w:t>
      </w:r>
    </w:p>
    <w:p>
      <w:pPr>
        <w:pStyle w:val="normal1"/>
        <w:keepNext w:val="false"/>
        <w:keepLines w:val="false"/>
        <w:pageBreakBefore w:val="false"/>
        <w:widowControl w:val="false"/>
        <w:numPr>
          <w:ilvl w:val="0"/>
          <w:numId w:val="2"/>
        </w:numPr>
        <w:shd w:val="clear" w:fill="auto"/>
        <w:tabs>
          <w:tab w:val="clear" w:pos="720"/>
          <w:tab w:val="left" w:pos="924" w:leader="none"/>
        </w:tabs>
        <w:spacing w:lineRule="auto" w:line="240" w:before="240" w:after="0"/>
        <w:ind w:hanging="358" w:left="924"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Obligaciones fiscales:</w:t>
      </w:r>
    </w:p>
    <w:p>
      <w:pPr>
        <w:pStyle w:val="normal1"/>
        <w:keepNext w:val="false"/>
        <w:keepLines w:val="false"/>
        <w:pageBreakBefore w:val="false"/>
        <w:widowControl w:val="false"/>
        <w:numPr>
          <w:ilvl w:val="1"/>
          <w:numId w:val="2"/>
        </w:numPr>
        <w:shd w:val="clear" w:fill="auto"/>
        <w:tabs>
          <w:tab w:val="clear" w:pos="720"/>
          <w:tab w:val="left" w:pos="1333" w:leader="none"/>
        </w:tabs>
        <w:spacing w:lineRule="auto" w:line="276" w:before="39" w:after="0"/>
        <w:ind w:hanging="0" w:left="92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facturará mensualmente sus servicios derivados del presente Contrato, de conformidad con la legislación aplicable.</w:t>
      </w:r>
    </w:p>
    <w:p>
      <w:pPr>
        <w:pStyle w:val="normal1"/>
        <w:keepNext w:val="false"/>
        <w:keepLines w:val="false"/>
        <w:pageBreakBefore w:val="false"/>
        <w:widowControl w:val="false"/>
        <w:numPr>
          <w:ilvl w:val="1"/>
          <w:numId w:val="2"/>
        </w:numPr>
        <w:shd w:val="clear" w:fill="auto"/>
        <w:tabs>
          <w:tab w:val="clear" w:pos="720"/>
          <w:tab w:val="left" w:pos="1309" w:leader="none"/>
        </w:tabs>
        <w:spacing w:lineRule="auto" w:line="276" w:before="1" w:after="0"/>
        <w:ind w:hanging="0" w:left="92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será responsable de emitir las facturas correspondientes a los intereses devengados y percibidos por el Deudor en virtud de los Contratos de Deuda, entregándolas a la Contratista a requerimiento, para que esta a su vez las remita al Deudor contra el pago de dichos intereses. La Contratista no asume responsabilidad alguna en caso de que el contratante incumpla sus obligaciones fiscales. En tal supuesto, y para efectos de cumplimiento legal, la Contratista podrá emitir la factura por la cuota total recibida y trasladar a el contratante únicamente el monto neto correspondiente, deducidos los impuestos aplicables.</w:t>
      </w:r>
    </w:p>
    <w:p>
      <w:pPr>
        <w:pStyle w:val="normal1"/>
        <w:keepNext w:val="false"/>
        <w:keepLines w:val="false"/>
        <w:pageBreakBefore w:val="false"/>
        <w:widowControl w:val="false"/>
        <w:numPr>
          <w:ilvl w:val="0"/>
          <w:numId w:val="2"/>
        </w:numPr>
        <w:shd w:val="clear" w:fill="auto"/>
        <w:tabs>
          <w:tab w:val="clear" w:pos="720"/>
          <w:tab w:val="left" w:pos="771" w:leader="none"/>
        </w:tabs>
        <w:spacing w:lineRule="auto" w:line="240" w:before="100" w:after="0"/>
        <w:ind w:hanging="205" w:left="771"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Obligaciones respecto a garantías:</w:t>
      </w:r>
    </w:p>
    <w:p>
      <w:pPr>
        <w:pStyle w:val="normal1"/>
        <w:keepNext w:val="false"/>
        <w:keepLines w:val="false"/>
        <w:pageBreakBefore w:val="false"/>
        <w:widowControl w:val="false"/>
        <w:shd w:val="clear" w:fill="auto"/>
        <w:spacing w:lineRule="auto" w:line="276" w:before="241" w:after="0"/>
        <w:ind w:hanging="0" w:left="852"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a través de la entidad Garante, se obliga a prestar servicios de depositario y gestión administrativa sobre los bienes muebles que se otorguen en garantía para el cumplimiento de las obligaciones derivadas de los Contratos de Deuda celebrados en favor del contratante.</w:t>
      </w:r>
    </w:p>
    <w:p>
      <w:pPr>
        <w:pStyle w:val="normal1"/>
        <w:keepNext w:val="false"/>
        <w:keepLines w:val="false"/>
        <w:pageBreakBefore w:val="false"/>
        <w:widowControl w:val="false"/>
        <w:numPr>
          <w:ilvl w:val="0"/>
          <w:numId w:val="2"/>
        </w:numPr>
        <w:shd w:val="clear" w:fill="auto"/>
        <w:tabs>
          <w:tab w:val="clear" w:pos="720"/>
          <w:tab w:val="left" w:pos="1438" w:leader="none"/>
        </w:tabs>
        <w:spacing w:lineRule="auto" w:line="240" w:before="199" w:after="0"/>
        <w:ind w:hanging="358" w:left="1438"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Alcance de la preservación:</w:t>
      </w:r>
    </w:p>
    <w:p>
      <w:pPr>
        <w:pStyle w:val="normal1"/>
        <w:keepNext w:val="false"/>
        <w:keepLines w:val="false"/>
        <w:pageBreakBefore w:val="false"/>
        <w:widowControl w:val="false"/>
        <w:shd w:val="clear" w:fill="auto"/>
        <w:spacing w:lineRule="auto" w:line="276" w:before="42" w:after="0"/>
        <w:ind w:hanging="0" w:left="1440"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mediante la Garante, velará por la adecuada administración y preservación de los bienes muebles dados en garantía, así como por el seguimiento de los pagos derivados de la administración de las inversiones. No obstante, la Contratista no será responsable por pérdidas, deterioros o daños que resulten del uso normal, negligencia o actos del Deudor, de terceros, o de situaciones de caso fortuito o fuerza mayor.</w:t>
      </w:r>
    </w:p>
    <w:p>
      <w:pPr>
        <w:pStyle w:val="normal1"/>
        <w:keepNext w:val="false"/>
        <w:keepLines w:val="false"/>
        <w:pageBreakBefore w:val="false"/>
        <w:widowControl w:val="false"/>
        <w:shd w:val="clear" w:fill="auto"/>
        <w:spacing w:lineRule="auto" w:line="276" w:before="20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QUINTA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PLAZO. El presente Contrato de Prestación de Servicios tendrá una vigencia indefinida, vinculada a la duración de las inversiones realizadas por el contratante conforme al Acuerdo Privado de Inversión. En consecuencia, este Contrato se mantendrá vigente mientras exista al menos una inversión activa de el contratante, y culminará en la fecha efectiva de terminación de la última inversión colocada en su favor.</w:t>
      </w:r>
    </w:p>
    <w:p>
      <w:pPr>
        <w:pStyle w:val="normal1"/>
        <w:keepNext w:val="false"/>
        <w:keepLines w:val="false"/>
        <w:pageBreakBefore w:val="false"/>
        <w:widowControl w:val="false"/>
        <w:shd w:val="clear" w:fill="auto"/>
        <w:spacing w:lineRule="auto" w:line="276" w:before="198"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Para todos los efectos relacionados con la terminación anticipada o supuestos especiales, las Partes acuerdan que serán aplicables, en lo conducente, las estipulaciones sobre terminación contenidas en el Acuerdo Privado de Inversión, prevaleciendo dichas disposiciones en caso de contradicción o duda interpretativa.</w:t>
      </w:r>
    </w:p>
    <w:p>
      <w:pPr>
        <w:pStyle w:val="normal1"/>
        <w:keepNext w:val="false"/>
        <w:keepLines w:val="false"/>
        <w:pageBreakBefore w:val="false"/>
        <w:widowControl w:val="false"/>
        <w:shd w:val="clear" w:fill="auto"/>
        <w:spacing w:lineRule="auto" w:line="276" w:before="203"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la Contratista conservará el mandato y la facultad de continuar con la administración, gestión de cobro y ejecución de garantías respecto de las obligaciones que permanezcan pendientes de pago o en proceso de recuperación al momento de la terminación, hasta su conclusión definitiva, sin que ello implique una renovación del presente Contrato</w:t>
      </w:r>
    </w:p>
    <w:p>
      <w:pPr>
        <w:pStyle w:val="normal1"/>
        <w:keepNext w:val="false"/>
        <w:keepLines w:val="false"/>
        <w:pageBreakBefore w:val="false"/>
        <w:widowControl w:val="false"/>
        <w:shd w:val="clear" w:fill="auto"/>
        <w:spacing w:lineRule="auto" w:line="276" w:before="198"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Al momento de la terminación, la Contratista elaborará y remitirá a el contratante una liquidación final, detallando los saldos de capital, intereses, pagos recibidos, honorarios cobrados y obligaciones en trámite. Dicha liquidación se entenderá como cierre administrativo de la relación contractual, quedando únicamente pendientes de ejecución las acciones de cobro o recuperación que aún se encuentren en curso.</w:t>
      </w:r>
    </w:p>
    <w:p>
      <w:pPr>
        <w:pStyle w:val="normal1"/>
        <w:keepNext w:val="false"/>
        <w:keepLines w:val="false"/>
        <w:pageBreakBefore w:val="false"/>
        <w:widowControl w:val="false"/>
        <w:shd w:val="clear" w:fill="auto"/>
        <w:spacing w:lineRule="auto" w:line="240" w:before="201"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SEXTA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EXCLUSIVIDAD Y NO ELUSIÓN.</w:t>
      </w:r>
    </w:p>
    <w:p>
      <w:pPr>
        <w:pStyle w:val="normal1"/>
        <w:keepNext w:val="false"/>
        <w:keepLines w:val="false"/>
        <w:pageBreakBefore w:val="false"/>
        <w:widowControl w:val="false"/>
        <w:shd w:val="clear" w:fill="auto"/>
        <w:spacing w:lineRule="auto" w:line="276" w:before="241"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Partes convienen que el presente Contrato otorga a la Contratista el carácter de administrador exclusivo de las inversiones de el contratante derivadas del Acuerdo Privado de Inversión. En consecuencia, el contratante no podrá, durante la vigencia del presente Contrato, contratar con terceros los servicios objeto del mismo ni realizar por sí misma, directa o indirectamente, las actividades de gestión de cobro, recepción de pagos o administración de garantías correspondientes a sus inversiones.</w:t>
      </w:r>
    </w:p>
    <w:p>
      <w:pPr>
        <w:pStyle w:val="normal1"/>
        <w:keepNext w:val="false"/>
        <w:keepLines w:val="false"/>
        <w:pageBreakBefore w:val="false"/>
        <w:widowControl w:val="false"/>
        <w:shd w:val="clear" w:fill="auto"/>
        <w:spacing w:lineRule="auto" w:line="276" w:before="201"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Por su parte, la Contratista mantiene plena libertad para prestar sus servicios a otros inversionistas, deudores o terceros sin limitación alguna.</w:t>
      </w:r>
    </w:p>
    <w:p>
      <w:pPr>
        <w:pStyle w:val="normal1"/>
        <w:keepNext w:val="false"/>
        <w:keepLines w:val="false"/>
        <w:pageBreakBefore w:val="false"/>
        <w:widowControl w:val="false"/>
        <w:shd w:val="clear" w:fill="auto"/>
        <w:spacing w:lineRule="auto" w:line="276" w:before="199"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se obliga, durante todo el plazo de este Contrato, a no eludir ni obviar el pago de los honorarios de la Contratista establecidos en la cláusula segunda. Cualquier pago que el Deudor realicen directamente a el contratante se considerará, para efectos de cálculo de honorarios, como si hubiera sido recibido por la Contratista, y dará derecho a esta última a retener y cobrar los honorarios pactados, aun cuando no hubiera intervenido directamente en la gestión de cobro.</w:t>
      </w:r>
    </w:p>
    <w:p>
      <w:pPr>
        <w:pStyle w:val="normal1"/>
        <w:keepNext w:val="false"/>
        <w:keepLines w:val="false"/>
        <w:pageBreakBefore w:val="false"/>
        <w:widowControl w:val="false"/>
        <w:shd w:val="clear" w:fill="auto"/>
        <w:spacing w:lineRule="auto" w:line="276" w:before="201"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incumplimiento de la presente cláusula, el contratante se obliga a pagar a la Contratista, en concepto de penalidad, una suma equivalente a los intereses proyectados pendientes que la inversión debía reconocer a favor de la Contratista durante el plazo restante de la misma, sin perjuicio de los honorarios ya devengados y de las demás acciones legales que pudieran corresponder.</w:t>
      </w:r>
    </w:p>
    <w:p>
      <w:pPr>
        <w:pStyle w:val="normal1"/>
        <w:keepNext w:val="false"/>
        <w:keepLines w:val="false"/>
        <w:pageBreakBefore w:val="false"/>
        <w:widowControl w:val="false"/>
        <w:shd w:val="clear" w:fill="auto"/>
        <w:spacing w:lineRule="auto" w:line="276" w:before="201"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SÉPTIMA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CESIÓN DE DERECHOS. Las partes podrán ceder, enajenar o gravar, en todo o en parte, los derechos y obligaciones derivados del presente Contrato, para lo cual se requerirá la aceptación por escrito de la otra parte. En caso de cesión de los derechos contractuales, el cesionario no podrá variar o modificar el presente Contrato, salvo que lo acuerde por escrito con el contratante.</w:t>
      </w:r>
    </w:p>
    <w:p>
      <w:pPr>
        <w:pStyle w:val="normal1"/>
        <w:keepNext w:val="false"/>
        <w:keepLines w:val="false"/>
        <w:pageBreakBefore w:val="false"/>
        <w:widowControl w:val="false"/>
        <w:shd w:val="clear" w:fill="auto"/>
        <w:spacing w:lineRule="auto" w:line="276" w:before="201"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el contratante podrá ceder sus inversiones particulares según desee, para el efecto se estará a lo dispuesto en el Acuerdo de Inversión. Cualquier cesión que se realice por las inversiones de la contratista, se hará bajo el entendido de que el contrato aquí contenido, también será cedido.</w:t>
      </w:r>
    </w:p>
    <w:p>
      <w:pPr>
        <w:pStyle w:val="normal1"/>
        <w:keepNext w:val="false"/>
        <w:keepLines w:val="false"/>
        <w:pageBreakBefore w:val="false"/>
        <w:widowControl w:val="false"/>
        <w:shd w:val="clear" w:fill="auto"/>
        <w:spacing w:lineRule="auto" w:line="276" w:before="199"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OCTAVA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TERMINACIÓN. El presente Contrato de Prestación de Servicios se regirá, en lo relativo a su terminación, por las disposiciones establecidas en el Acuerdo Privado de Inversión, del cual forma parte complementaria. En consecuencia, la terminación del Acuerdo implicará automáticamente la terminación del presente Contrato, y viceversa, sin necesidad de notificación adicional.</w:t>
      </w:r>
    </w:p>
    <w:p>
      <w:pPr>
        <w:pStyle w:val="normal1"/>
        <w:keepNext w:val="false"/>
        <w:keepLines w:val="false"/>
        <w:pageBreakBefore w:val="false"/>
        <w:widowControl w:val="false"/>
        <w:shd w:val="clear" w:fill="auto"/>
        <w:spacing w:lineRule="auto" w:line="276" w:before="199" w:after="0"/>
        <w:ind w:hanging="0" w:left="566" w:right="272"/>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Si la terminación se produce porque el contratante decide administrar directamente su cartera de inversiones o encomendarla a un tercero distinto de la Contratista, dicha terminación se considerará como terminación unilateral sin causa por parte de el contratante, y dará lugar a la aplicación de la penalidad prevista en el Acuerdo de Inversión, equivalente a los intereses proyectados pendientes que la inversión debía reconocer en favor de la Contratista. La Contratista tendrá derecho a exigir el pago de dicha penalidad, además de los honorarios adeudados a la fecha de terminación.</w:t>
      </w:r>
    </w:p>
    <w:p>
      <w:pPr>
        <w:pStyle w:val="normal1"/>
        <w:keepNext w:val="false"/>
        <w:keepLines w:val="false"/>
        <w:pageBreakBefore w:val="false"/>
        <w:widowControl w:val="false"/>
        <w:shd w:val="clear" w:fill="auto"/>
        <w:spacing w:lineRule="auto" w:line="276" w:before="20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 obstante, lo anterior, en caso de terminación, la Contratista elaborará la liquidación final de los servicios prestados hasta la fecha de conclusión efectiva y conservará la facultad de continuar con la gestión de cobros o ejecución de garantías que se encuentren en trámite, hasta su total conclusión, sin que ello implique prórroga o renovación del Contrato.</w:t>
      </w:r>
    </w:p>
    <w:p>
      <w:pPr>
        <w:pStyle w:val="normal1"/>
        <w:keepNext w:val="false"/>
        <w:keepLines w:val="false"/>
        <w:pageBreakBefore w:val="false"/>
        <w:widowControl w:val="false"/>
        <w:shd w:val="clear" w:fill="auto"/>
        <w:spacing w:lineRule="auto" w:line="276" w:before="201"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estipulaciones que, por su naturaleza, deban subsistir después de la terminación, permanecerán vigentes, incluyendo, pero no limitándose a: obligaciones fiscales, exclusividad y no elusión, confidencialidad, responsabilidades pendientes, penalidades y solución de controversias.</w:t>
      </w:r>
    </w:p>
    <w:p>
      <w:pPr>
        <w:pStyle w:val="normal1"/>
        <w:keepNext w:val="false"/>
        <w:keepLines w:val="false"/>
        <w:pageBreakBefore w:val="false"/>
        <w:widowControl w:val="false"/>
        <w:shd w:val="clear" w:fill="auto"/>
        <w:spacing w:lineRule="auto" w:line="276" w:before="200" w:after="0"/>
        <w:ind w:hanging="0" w:left="566" w:right="26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NOVENA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GARANTÍA: En las inversiones realizadas bajo el presente Contrato que correspondan a la modalidad de financiamiento para la adquisición de vehículos, las Partes acuerdan que, con la firma de cada Contrato de Deuda, Cube Investments, Sociedad Anónima instruirá irrevocablemente a la entidad RDBE, Sociedad Anónima (la “Garante”) para que constituya a favor del contratante la garantía mobiliaria sobre los vehículos adquiridos con los fondos aportados por el contratante, conforme a la legislación aplicable, salvo que acuerde que dicha garantía se constituya a favor de Cube Investments, Sociedad Anónima a solicitud expresa del inversionista.</w:t>
      </w:r>
    </w:p>
    <w:p>
      <w:pPr>
        <w:pStyle w:val="normal1"/>
        <w:keepNext w:val="false"/>
        <w:keepLines w:val="false"/>
        <w:pageBreakBefore w:val="false"/>
        <w:widowControl w:val="false"/>
        <w:shd w:val="clear" w:fill="auto"/>
        <w:spacing w:lineRule="auto" w:line="276" w:before="200"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constitución e inscripción de dichas garantías mobiliarias se formalizará en los respectivos contratos de garantía mobiliaria, los cuales contendrán las estipulaciones específicas que regirán la garantía constituida.</w:t>
      </w:r>
    </w:p>
    <w:p>
      <w:pPr>
        <w:pStyle w:val="normal1"/>
        <w:keepNext w:val="false"/>
        <w:keepLines w:val="false"/>
        <w:pageBreakBefore w:val="false"/>
        <w:widowControl w:val="false"/>
        <w:shd w:val="clear" w:fill="auto"/>
        <w:spacing w:lineRule="auto" w:line="276" w:before="201"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el caso de inversiones realizadas mediante la modalidad de cesión de créditos en cartera activa, el contratante acepta expresamente recibir los créditos en el estado en que se encuentren, incluyendo las garantías ya constituidas, pudiendo, en su caso, constituirse a su favor en segundo rango.</w:t>
      </w:r>
    </w:p>
    <w:p>
      <w:pPr>
        <w:pStyle w:val="normal1"/>
        <w:keepNext w:val="false"/>
        <w:keepLines w:val="false"/>
        <w:pageBreakBefore w:val="false"/>
        <w:widowControl w:val="false"/>
        <w:shd w:val="clear" w:fill="auto"/>
        <w:spacing w:lineRule="auto" w:line="276" w:before="199"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Cube Investments, S.A. no asume la calidad de garante ni se obliga a constituir directamente garantías mobiliarias, limitándose a instruir a la Garante para que lo haga conforme a lo establecido en el presente Contrato.</w:t>
      </w:r>
    </w:p>
    <w:p>
      <w:pPr>
        <w:pStyle w:val="normal1"/>
        <w:keepNext w:val="false"/>
        <w:keepLines w:val="false"/>
        <w:pageBreakBefore w:val="false"/>
        <w:widowControl w:val="false"/>
        <w:shd w:val="clear" w:fill="auto"/>
        <w:spacing w:lineRule="auto" w:line="240" w:before="201"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LIMITACIÓN DE RESPONSABILIDADES E INDEMNIDAD. Salvo lo expresamente</w:t>
      </w:r>
    </w:p>
    <w:p>
      <w:pPr>
        <w:pStyle w:val="normal1"/>
        <w:keepNext w:val="false"/>
        <w:keepLines w:val="false"/>
        <w:pageBreakBefore w:val="false"/>
        <w:widowControl w:val="false"/>
        <w:shd w:val="clear" w:fill="auto"/>
        <w:spacing w:lineRule="auto" w:line="276" w:before="39"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establecido en el Acuerdo Privado de Inversión, la Contratista no tendrá responsabilidad alguna por daños indirectos o consecuenciales, incluyendo, sin limitación, lucro cesante, incobrabilidad de intereses, pérdida de garantías, sentencias condenatorias o cualquier otro costo o gasto en que incurra el contratante en relación con el presente Contrato.</w:t>
      </w:r>
    </w:p>
    <w:p>
      <w:pPr>
        <w:pStyle w:val="normal1"/>
        <w:keepNext w:val="false"/>
        <w:keepLines w:val="false"/>
        <w:pageBreakBefore w:val="false"/>
        <w:widowControl w:val="false"/>
        <w:shd w:val="clear" w:fill="auto"/>
        <w:spacing w:lineRule="auto" w:line="276" w:before="100" w:after="0"/>
        <w:ind w:hanging="0" w:left="566" w:right="27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Inversionista reconoce y acepta que toda inversión conlleva riesgos inherentes, tales como incumplimiento o mora del Deudor, fluctuaciones de mercado, pérdida parcial o total del capital, o inejecución de garantías, por lo que mantendrá indemnes y libres de toda responsabilidad a Cube Investments, S.A., RDBE, S.A., sus representantes, personeros, filiales, subsidiarias y empresas relacionadas, frente a cualquier acción, reclamo, procedimiento, daño, costo o gasto (incluyendo honorarios legales y costas judiciales) que se derive directa o indirectamente de dichos riesgos.</w:t>
      </w:r>
    </w:p>
    <w:p>
      <w:pPr>
        <w:pStyle w:val="normal1"/>
        <w:keepNext w:val="false"/>
        <w:keepLines w:val="false"/>
        <w:pageBreakBefore w:val="false"/>
        <w:widowControl w:val="false"/>
        <w:shd w:val="clear" w:fill="auto"/>
        <w:spacing w:lineRule="auto" w:line="276" w:before="201"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ningún caso Cube Investments, S.A. ni RDBE, S.A. asumirán responsabilidad por pérdidas derivadas de la mora, incumplimiento o insolvencia del Deudor, ni por eventos de caso fortuito o fuerza mayor, entendidos estos como aquellos sucesos imprevisibles o inevitables fuera del control razonable de la Contratista, tales como crisis financieras, cambios regulatorios, reformas legales, catástrofes naturales, conflictos sociales, pandemias u otros de naturaleza semejante.</w:t>
      </w:r>
    </w:p>
    <w:p>
      <w:pPr>
        <w:pStyle w:val="normal1"/>
        <w:keepNext w:val="false"/>
        <w:keepLines w:val="false"/>
        <w:pageBreakBefore w:val="false"/>
        <w:widowControl w:val="false"/>
        <w:shd w:val="clear" w:fill="auto"/>
        <w:spacing w:lineRule="auto" w:line="276" w:before="201"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responsabilidad de Cube Investments, S.A. quedará limitada exclusivamente a casos de dolo o negligencia grave debidamente comprobada en la administración de las inversiones.</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PRIMERA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CONFIDENCIALIDAD Y USO RESTRINGIDO DE INFORMACIÓN: Las</w:t>
      </w:r>
    </w:p>
    <w:p>
      <w:pPr>
        <w:pStyle w:val="normal1"/>
        <w:keepNext w:val="false"/>
        <w:keepLines w:val="false"/>
        <w:pageBreakBefore w:val="false"/>
        <w:widowControl w:val="false"/>
        <w:shd w:val="clear" w:fill="auto"/>
        <w:spacing w:lineRule="auto" w:line="276" w:before="39"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Partes acuerdan que toda información a la que tengan acceso en virtud del presente Contrato, del Acuerdo Privado de Inversión, de los Contratos de Deuda o de cualquier otro documento relacionado con las inversiones, será considerada estrictamente confidencial.</w:t>
      </w:r>
    </w:p>
    <w:p>
      <w:pPr>
        <w:pStyle w:val="normal1"/>
        <w:keepNext w:val="false"/>
        <w:keepLines w:val="false"/>
        <w:pageBreakBefore w:val="false"/>
        <w:widowControl w:val="false"/>
        <w:shd w:val="clear" w:fill="auto"/>
        <w:spacing w:lineRule="auto" w:line="240" w:before="20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particular, se considerará información confidencial, sin limitación:</w:t>
      </w:r>
    </w:p>
    <w:p>
      <w:pPr>
        <w:pStyle w:val="normal1"/>
        <w:keepNext w:val="false"/>
        <w:keepLines w:val="false"/>
        <w:pageBreakBefore w:val="false"/>
        <w:widowControl w:val="false"/>
        <w:numPr>
          <w:ilvl w:val="0"/>
          <w:numId w:val="1"/>
        </w:numPr>
        <w:shd w:val="clear" w:fill="auto"/>
        <w:tabs>
          <w:tab w:val="left" w:pos="720" w:leader="none"/>
        </w:tabs>
        <w:spacing w:lineRule="auto" w:line="240" w:before="240" w:after="0"/>
        <w:ind w:hanging="360" w:left="720" w:right="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datos financieros, comerciales y personales de los inversionistas y del Deudor.</w:t>
      </w:r>
    </w:p>
    <w:p>
      <w:pPr>
        <w:pStyle w:val="normal1"/>
        <w:keepNext w:val="false"/>
        <w:keepLines w:val="false"/>
        <w:pageBreakBefore w:val="false"/>
        <w:widowControl w:val="false"/>
        <w:numPr>
          <w:ilvl w:val="0"/>
          <w:numId w:val="1"/>
        </w:numPr>
        <w:shd w:val="clear" w:fill="auto"/>
        <w:tabs>
          <w:tab w:val="left" w:pos="720" w:leader="none"/>
        </w:tabs>
        <w:spacing w:lineRule="auto" w:line="240" w:before="241" w:after="0"/>
        <w:ind w:hanging="360" w:left="720" w:right="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términos y condiciones de las inversiones y contratos de deuda.</w:t>
      </w:r>
    </w:p>
    <w:p>
      <w:pPr>
        <w:pStyle w:val="normal1"/>
        <w:keepNext w:val="false"/>
        <w:keepLines w:val="false"/>
        <w:pageBreakBefore w:val="false"/>
        <w:widowControl w:val="false"/>
        <w:numPr>
          <w:ilvl w:val="0"/>
          <w:numId w:val="1"/>
        </w:numPr>
        <w:shd w:val="clear" w:fill="auto"/>
        <w:tabs>
          <w:tab w:val="left" w:pos="720" w:leader="none"/>
        </w:tabs>
        <w:spacing w:lineRule="auto" w:line="240" w:before="240" w:after="0"/>
        <w:ind w:hanging="360" w:left="720" w:right="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Los estados de cuenta, registros, reportes de pagos y gestiones de cobro.</w:t>
      </w:r>
    </w:p>
    <w:p>
      <w:pPr>
        <w:pStyle w:val="normal1"/>
        <w:keepNext w:val="false"/>
        <w:keepLines w:val="false"/>
        <w:pageBreakBefore w:val="false"/>
        <w:widowControl w:val="false"/>
        <w:numPr>
          <w:ilvl w:val="0"/>
          <w:numId w:val="1"/>
        </w:numPr>
        <w:shd w:val="clear" w:fill="auto"/>
        <w:tabs>
          <w:tab w:val="left" w:pos="720" w:leader="none"/>
        </w:tabs>
        <w:spacing w:lineRule="auto" w:line="240" w:before="238" w:after="0"/>
        <w:ind w:hanging="360" w:left="720" w:right="0"/>
        <w:jc w:val="left"/>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Las metodologías, procesos, know-how y estrategias utilizadas por Cube Investments,</w:t>
      </w:r>
    </w:p>
    <w:p>
      <w:pPr>
        <w:pStyle w:val="normal1"/>
        <w:keepNext w:val="false"/>
        <w:keepLines w:val="false"/>
        <w:pageBreakBefore w:val="false"/>
        <w:widowControl w:val="false"/>
        <w:numPr>
          <w:ilvl w:val="0"/>
          <w:numId w:val="0"/>
        </w:numPr>
        <w:shd w:val="clear" w:fill="auto"/>
        <w:spacing w:lineRule="auto" w:line="240" w:before="41" w:after="0"/>
        <w:ind w:hanging="0" w:left="72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S.A. y RDBE, S.A.</w:t>
      </w:r>
    </w:p>
    <w:p>
      <w:pPr>
        <w:pStyle w:val="normal1"/>
        <w:keepNext w:val="false"/>
        <w:keepLines w:val="false"/>
        <w:pageBreakBefore w:val="false"/>
        <w:widowControl w:val="false"/>
        <w:shd w:val="clear" w:fill="auto"/>
        <w:spacing w:lineRule="auto" w:line="276" w:before="241" w:after="0"/>
        <w:ind w:hanging="0" w:left="566" w:right="275"/>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contratante se obliga a no divulgar ni compartir dicha información con terceros, salvo autorización expresa y por escrito de Cube Investments, S.A., o cuando la divulgación sea requerida por ley, autoridad competente o resolución judicial.</w:t>
      </w:r>
    </w:p>
    <w:p>
      <w:pPr>
        <w:pStyle w:val="normal1"/>
        <w:keepNext w:val="false"/>
        <w:keepLines w:val="false"/>
        <w:pageBreakBefore w:val="false"/>
        <w:widowControl w:val="false"/>
        <w:shd w:val="clear" w:fill="auto"/>
        <w:spacing w:lineRule="auto" w:line="276" w:before="199" w:after="0"/>
        <w:ind w:hanging="0" w:left="566" w:right="271"/>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Asimismo, el contratante se obliga a no utilizar la información confidencial para fines distintos a los contemplados en este Contrato y en el Acuerdo de Inversión, ni para desarrollar, directa o indirectamente, actividades o negocios que compitan con los de Cube Investments, S.A. o RDBE, S.A.</w:t>
      </w:r>
    </w:p>
    <w:p>
      <w:pPr>
        <w:pStyle w:val="normal1"/>
        <w:keepNext w:val="false"/>
        <w:keepLines w:val="false"/>
        <w:pageBreakBefore w:val="false"/>
        <w:widowControl w:val="false"/>
        <w:shd w:val="clear" w:fill="auto"/>
        <w:spacing w:lineRule="auto" w:line="276" w:before="100" w:after="0"/>
        <w:ind w:hanging="0" w:left="566" w:right="278"/>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obligación de confidencialidad y de no uso competitivo subsistirá de manera indefinida, incluso después de la terminación del presente Contrato.</w:t>
      </w:r>
    </w:p>
    <w:p>
      <w:pPr>
        <w:pStyle w:val="normal1"/>
        <w:keepNext w:val="false"/>
        <w:keepLines w:val="false"/>
        <w:pageBreakBefore w:val="false"/>
        <w:widowControl w:val="false"/>
        <w:shd w:val="clear" w:fill="auto"/>
        <w:spacing w:lineRule="auto" w:line="276" w:before="200" w:after="0"/>
        <w:ind w:hanging="0" w:left="566" w:right="276"/>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El incumplimiento de lo dispuesto en la presente cláusula facultará a la Contratista a reclamar los daños y perjuicios ocasionados, así como a ejercer las acciones legales que correspondan.</w:t>
      </w:r>
    </w:p>
    <w:p>
      <w:pPr>
        <w:pStyle w:val="normal1"/>
        <w:keepNext w:val="false"/>
        <w:keepLines w:val="false"/>
        <w:pageBreakBefore w:val="false"/>
        <w:widowControl w:val="false"/>
        <w:shd w:val="clear" w:fill="auto"/>
        <w:spacing w:lineRule="auto" w:line="276" w:before="200" w:after="0"/>
        <w:ind w:hanging="0" w:left="566" w:right="273"/>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SEGUNDA: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RESOLUCIÓN DE CONFLICTOS: Cualquier controversia, disputa, conflicto o reclamación que surja entre los firmantes del presente Contrato entre las partes, con relación a la aplicación, interpretación, ejecución, terminación y/o cumplimiento de este Contrato, ya sea durante su vigencia como luego de su terminación, deberá ser resuelta mediante negociación directa entre las partes dentro de los treinta</w:t>
      </w:r>
    </w:p>
    <w:p>
      <w:pPr>
        <w:pStyle w:val="normal1"/>
        <w:keepNext w:val="false"/>
        <w:keepLines w:val="false"/>
        <w:pageBreakBefore w:val="false"/>
        <w:widowControl w:val="false"/>
        <w:shd w:val="clear" w:fill="auto"/>
        <w:spacing w:lineRule="auto" w:line="276" w:before="0" w:after="0"/>
        <w:ind w:hanging="0" w:left="566" w:right="269"/>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(30) días calendario a partir de que la parte afectada comunique a la otra parte su reclamo. Las partes de común acuerdo podrán nombrar un mediador para resolver la disputa dentro del período de negociación. En caso no se llegue a un acuerdo en la negociación dentro de los treinta (30) días calendario a partir de que la parte afectada comunique a la otra parte su reclamo, las partes se obligan a someter la controversia, disputa, conflicto o reclamación a la jurisdicción de los Tribunales de Justicia Ordinarios de la República de Guatemala.</w:t>
      </w:r>
    </w:p>
    <w:p>
      <w:pPr>
        <w:pStyle w:val="normal1"/>
        <w:keepNext w:val="false"/>
        <w:keepLines w:val="false"/>
        <w:pageBreakBefore w:val="false"/>
        <w:widowControl w:val="false"/>
        <w:shd w:val="clear" w:fill="auto"/>
        <w:spacing w:lineRule="auto" w:line="276" w:before="201" w:after="0"/>
        <w:ind w:hanging="0" w:left="566"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TERCERA: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LEY APLICABLE. El presente contrato se interpretará y regirá según las leyes vigentes de la República de Guatemala.</w:t>
      </w:r>
    </w:p>
    <w:p>
      <w:pPr>
        <w:pStyle w:val="normal1"/>
        <w:keepNext w:val="false"/>
        <w:keepLines w:val="false"/>
        <w:pageBreakBefore w:val="false"/>
        <w:widowControl w:val="false"/>
        <w:shd w:val="clear" w:fill="auto"/>
        <w:tabs>
          <w:tab w:val="clear" w:pos="720"/>
          <w:tab w:val="left" w:pos="5734" w:leader="none"/>
        </w:tabs>
        <w:spacing w:lineRule="auto" w:line="276" w:before="200" w:after="0"/>
        <w:ind w:hanging="0" w:left="566" w:right="27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DÉCIMA CUARTA</w:t>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ACEPTACIÓN Y CONFORMIDAD. Los otorgantes en las calidades en que actuamos, expresamente aceptamos el presente contrato y aceptamos: I) todo lo relacionado; II) que se tuvo a la vista la documentación de identificación citada; y III) que habiendo leído por nosotros mismos, íntegramente este contrato, y bien impuestos de su contenido, objeto, validez y efectos legales, así como de los demás documentos a los que se hace referencia en el mismo, lo aceptamos, ratificamos y firmamos en las calidades con las que actuamos, en la ciudad de Guatemala, {fechaInicioContrato}</w:t>
      </w:r>
    </w:p>
    <w:p>
      <w:pPr>
        <w:pStyle w:val="normal1"/>
        <w:keepNext w:val="false"/>
        <w:keepLines w:val="false"/>
        <w:pageBreakBefore w:val="false"/>
        <w:widowControl w:val="false"/>
        <w:shd w:val="clear" w:fill="auto"/>
        <w:spacing w:lineRule="auto" w:line="240"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75"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75"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3806" w:leader="none"/>
          <w:tab w:val="left" w:pos="4860" w:leader="none"/>
          <w:tab w:val="left" w:pos="8098" w:leader="none"/>
        </w:tabs>
        <w:spacing w:lineRule="auto" w:line="240" w:before="0" w:after="0"/>
        <w:ind w:hanging="0" w:left="566" w:right="538"/>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f)</w:t>
      </w: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ab/>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ab/>
        <w:t>f)</w:t>
      </w:r>
      <w:r>
        <w:rPr>
          <w:rFonts w:eastAsia="Quattrocento Sans" w:cs="Quattrocento Sans"/>
          <w:b w:val="false"/>
          <w:bCs w:val="false"/>
          <w:i w:val="false"/>
          <w:iCs w:val="false"/>
          <w:caps w:val="false"/>
          <w:smallCaps w:val="false"/>
          <w:strike w:val="false"/>
          <w:dstrike w:val="false"/>
          <w:color w:val="000000"/>
          <w:position w:val="0"/>
          <w:sz w:val="20"/>
          <w:szCs w:val="20"/>
          <w:u w:val="single"/>
          <w:shd w:fill="auto" w:val="clear"/>
          <w:vertAlign w:val="baseline"/>
        </w:rPr>
        <w:tab/>
      </w: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 POR CUBE INVESTMENTS, S.A.</w:t>
        <w:tab/>
        <w:tab/>
        <w:t xml:space="preserve"> POR RDBE, S.A.</w:t>
      </w:r>
    </w:p>
    <w:p>
      <w:pPr>
        <w:pStyle w:val="normal1"/>
        <w:keepNext w:val="false"/>
        <w:keepLines w:val="false"/>
        <w:pageBreakBefore w:val="false"/>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widowControl w:val="false"/>
        <w:shd w:val="clear" w:fill="auto"/>
        <w:spacing w:lineRule="auto" w:line="240" w:before="24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3779" w:leader="none"/>
        </w:tabs>
        <w:spacing w:lineRule="auto" w:line="240" w:before="0" w:after="0"/>
        <w:ind w:hanging="0" w:left="566" w:right="0"/>
        <w:jc w:val="both"/>
        <w:rPr>
          <w:u w:val="no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 xml:space="preserve">f) </w:t>
      </w:r>
      <w:r>
        <w:rPr>
          <w:rFonts w:eastAsia="Quattrocento Sans" w:cs="Quattrocento Sans" w:ascii="Droid Sans Fallback" w:hAnsi="Droid Sans Fallback"/>
          <w:b w:val="false"/>
          <w:bCs w:val="false"/>
          <w:i w:val="false"/>
          <w:iCs w:val="false"/>
          <w:caps w:val="false"/>
          <w:smallCaps w:val="false"/>
          <w:strike w:val="false"/>
          <w:dstrike w:val="false"/>
          <w:color w:val="000000"/>
          <w:position w:val="0"/>
          <w:sz w:val="20"/>
          <w:szCs w:val="20"/>
          <w:u w:val="none"/>
          <w:shd w:fill="auto" w:val="clear"/>
          <w:vertAlign w:val="baseline"/>
        </w:rPr>
        <w:t>__________________________________</w:t>
      </w:r>
    </w:p>
    <w:p>
      <w:pPr>
        <w:pStyle w:val="normal1"/>
        <w:keepNext w:val="false"/>
        <w:keepLines w:val="false"/>
        <w:pageBreakBefore w:val="false"/>
        <w:widowControl w:val="false"/>
        <w:shd w:val="clear" w:fill="auto"/>
        <w:tabs>
          <w:tab w:val="clear" w:pos="720"/>
          <w:tab w:val="left" w:pos="3779" w:leader="none"/>
        </w:tabs>
        <w:spacing w:lineRule="auto" w:line="240" w:before="0" w:after="0"/>
        <w:ind w:hanging="0" w:left="566"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{nombreCompleto}</w:t>
      </w:r>
    </w:p>
    <w:p>
      <w:pPr>
        <w:pStyle w:val="normal1"/>
        <w:keepNext w:val="false"/>
        <w:keepLines w:val="false"/>
        <w:pageBreakBefore w:val="false"/>
        <w:widowControl w:val="false"/>
        <w:shd w:val="clear" w:fill="auto"/>
        <w:spacing w:lineRule="auto" w:line="240" w:before="0" w:after="0"/>
        <w:ind w:hanging="0" w:left="294"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r>
    </w:p>
    <w:sectPr>
      <w:headerReference w:type="even" r:id="rId2"/>
      <w:headerReference w:type="default" r:id="rId3"/>
      <w:headerReference w:type="first" r:id="rId4"/>
      <w:type w:val="nextPage"/>
      <w:pgSz w:w="12240" w:h="15840"/>
      <w:pgMar w:left="1800" w:right="1800" w:gutter="0" w:header="821" w:top="1880" w:footer="0" w:bottom="99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Quattrocento Sans">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roman"/>
    <w:pitch w:val="variable"/>
  </w:font>
  <w:font w:name="Liberation Sans">
    <w:altName w:val="Arial"/>
    <w:charset w:val="01"/>
    <w:family w:val="swiss"/>
    <w:pitch w:val="variable"/>
  </w:font>
  <w:font w:name="Georgia">
    <w:charset w:val="01"/>
    <w:family w:val="roman"/>
    <w:pitch w:val="variable"/>
    <w:embedRegular r:id="rId5" w:fontKey="{05014A78-CABC-4EF0-12AC-5CD89AEFDE05}"/>
    <w:embedItalic r:id="rId6" w:fontKey="{06014A78-CABC-4EF0-12AC-5CD89AEFDE06}"/>
  </w:font>
  <w:font w:name="Droid Sans Fallback">
    <w:charset w:val="01"/>
    <w:family w:val="swiss"/>
    <w:pitch w:val="variable"/>
    <w:embedRegular r:id="rId7" w:fontKey="{07014A78-CABC-4EF0-12AC-5CD89AEFDE07}"/>
    <w:embedBold r:id="rId8" w:fontKey="{08014A78-CABC-4EF0-12AC-5CD89AEFDE08}"/>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0" allowOverlap="1">
          <wp:simplePos x="0" y="0"/>
          <wp:positionH relativeFrom="page">
            <wp:posOffset>1230630</wp:posOffset>
          </wp:positionH>
          <wp:positionV relativeFrom="page">
            <wp:posOffset>521335</wp:posOffset>
          </wp:positionV>
          <wp:extent cx="1882140" cy="590550"/>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1"/>
                  <a:stretch>
                    <a:fillRect/>
                  </a:stretch>
                </pic:blipFill>
                <pic:spPr bwMode="auto">
                  <a:xfrm>
                    <a:off x="0" y="0"/>
                    <a:ext cx="1882140" cy="5905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 w:before="0" w:after="0"/>
      <w:ind w:hanging="0" w:left="0" w:right="0"/>
      <w:jc w:val="left"/>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10" behindDoc="1" locked="0" layoutInCell="0" allowOverlap="1">
          <wp:simplePos x="0" y="0"/>
          <wp:positionH relativeFrom="page">
            <wp:posOffset>1230630</wp:posOffset>
          </wp:positionH>
          <wp:positionV relativeFrom="page">
            <wp:posOffset>521335</wp:posOffset>
          </wp:positionV>
          <wp:extent cx="1882140" cy="590550"/>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tretch>
                    <a:fillRect/>
                  </a:stretch>
                </pic:blipFill>
                <pic:spPr bwMode="auto">
                  <a:xfrm>
                    <a:off x="0" y="0"/>
                    <a:ext cx="1882140" cy="5905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2">
    <w:lvl w:ilvl="0">
      <w:start w:val="1"/>
      <w:numFmt w:val="decimal"/>
      <w:lvlText w:val="%1."/>
      <w:lvlJc w:val="left"/>
      <w:pPr>
        <w:tabs>
          <w:tab w:val="num" w:pos="0"/>
        </w:tabs>
        <w:ind w:left="926" w:hanging="360"/>
      </w:pPr>
      <w:rPr>
        <w:rFonts w:ascii="Quattrocento Sans" w:hAnsi="Quattrocento Sans" w:eastAsia="Quattrocento Sans" w:cs="Quattrocento Sans"/>
        <w:b w:val="false"/>
        <w:bCs w:val="false"/>
        <w:i w:val="false"/>
        <w:iCs w:val="false"/>
        <w:sz w:val="20"/>
        <w:szCs w:val="20"/>
      </w:rPr>
    </w:lvl>
    <w:lvl w:ilvl="1">
      <w:start w:val="1"/>
      <w:numFmt w:val="decimal"/>
      <w:lvlText w:val="%1.%2."/>
      <w:lvlJc w:val="left"/>
      <w:pPr>
        <w:tabs>
          <w:tab w:val="num" w:pos="0"/>
        </w:tabs>
        <w:ind w:left="926" w:hanging="410"/>
      </w:pPr>
      <w:rPr>
        <w:rFonts w:ascii="Quattrocento Sans" w:hAnsi="Quattrocento Sans" w:eastAsia="Quattrocento Sans" w:cs="Quattrocento Sans"/>
        <w:b w:val="false"/>
        <w:bCs w:val="false"/>
        <w:i w:val="false"/>
        <w:iCs w:val="false"/>
        <w:sz w:val="20"/>
        <w:szCs w:val="20"/>
      </w:rPr>
    </w:lvl>
    <w:lvl w:ilvl="2">
      <w:start w:val="0"/>
      <w:numFmt w:val="bullet"/>
      <w:lvlText w:val=""/>
      <w:lvlJc w:val="left"/>
      <w:pPr>
        <w:tabs>
          <w:tab w:val="num" w:pos="0"/>
        </w:tabs>
        <w:ind w:left="2464" w:hanging="410"/>
      </w:pPr>
      <w:rPr>
        <w:rFonts w:ascii="Symbol" w:hAnsi="Symbol" w:cs="Symbol" w:hint="default"/>
      </w:rPr>
    </w:lvl>
    <w:lvl w:ilvl="3">
      <w:start w:val="0"/>
      <w:numFmt w:val="bullet"/>
      <w:lvlText w:val=""/>
      <w:lvlJc w:val="left"/>
      <w:pPr>
        <w:tabs>
          <w:tab w:val="num" w:pos="0"/>
        </w:tabs>
        <w:ind w:left="3236" w:hanging="410"/>
      </w:pPr>
      <w:rPr>
        <w:rFonts w:ascii="Symbol" w:hAnsi="Symbol" w:cs="Symbol" w:hint="default"/>
      </w:rPr>
    </w:lvl>
    <w:lvl w:ilvl="4">
      <w:start w:val="0"/>
      <w:numFmt w:val="bullet"/>
      <w:lvlText w:val=""/>
      <w:lvlJc w:val="left"/>
      <w:pPr>
        <w:tabs>
          <w:tab w:val="num" w:pos="0"/>
        </w:tabs>
        <w:ind w:left="4008" w:hanging="410"/>
      </w:pPr>
      <w:rPr>
        <w:rFonts w:ascii="Symbol" w:hAnsi="Symbol" w:cs="Symbol" w:hint="default"/>
      </w:rPr>
    </w:lvl>
    <w:lvl w:ilvl="5">
      <w:start w:val="0"/>
      <w:numFmt w:val="bullet"/>
      <w:lvlText w:val=""/>
      <w:lvlJc w:val="left"/>
      <w:pPr>
        <w:tabs>
          <w:tab w:val="num" w:pos="0"/>
        </w:tabs>
        <w:ind w:left="4780" w:hanging="410"/>
      </w:pPr>
      <w:rPr>
        <w:rFonts w:ascii="Symbol" w:hAnsi="Symbol" w:cs="Symbol" w:hint="default"/>
      </w:rPr>
    </w:lvl>
    <w:lvl w:ilvl="6">
      <w:start w:val="0"/>
      <w:numFmt w:val="bullet"/>
      <w:lvlText w:val=""/>
      <w:lvlJc w:val="left"/>
      <w:pPr>
        <w:tabs>
          <w:tab w:val="num" w:pos="0"/>
        </w:tabs>
        <w:ind w:left="5552" w:hanging="410"/>
      </w:pPr>
      <w:rPr>
        <w:rFonts w:ascii="Symbol" w:hAnsi="Symbol" w:cs="Symbol" w:hint="default"/>
      </w:rPr>
    </w:lvl>
    <w:lvl w:ilvl="7">
      <w:start w:val="0"/>
      <w:numFmt w:val="bullet"/>
      <w:lvlText w:val=""/>
      <w:lvlJc w:val="left"/>
      <w:pPr>
        <w:tabs>
          <w:tab w:val="num" w:pos="0"/>
        </w:tabs>
        <w:ind w:left="6324" w:hanging="410"/>
      </w:pPr>
      <w:rPr>
        <w:rFonts w:ascii="Symbol" w:hAnsi="Symbol" w:cs="Symbol" w:hint="default"/>
      </w:rPr>
    </w:lvl>
    <w:lvl w:ilvl="8">
      <w:start w:val="0"/>
      <w:numFmt w:val="bullet"/>
      <w:lvlText w:val=""/>
      <w:lvlJc w:val="left"/>
      <w:pPr>
        <w:tabs>
          <w:tab w:val="num" w:pos="0"/>
        </w:tabs>
        <w:ind w:left="7096" w:hanging="410"/>
      </w:pPr>
      <w:rPr>
        <w:rFonts w:ascii="Symbol" w:hAnsi="Symbol" w:cs="Symbol" w:hint="default"/>
      </w:rPr>
    </w:lvl>
  </w:abstractNum>
  <w:abstractNum w:abstractNumId="3">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4">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5">
    <w:lvl w:ilvl="0">
      <w:start w:val="1"/>
      <w:numFmt w:val="decimal"/>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12" w:hanging="360"/>
      </w:pPr>
      <w:rPr>
        <w:rFonts w:ascii="Symbol" w:hAnsi="Symbol" w:cs="Symbol" w:hint="default"/>
      </w:rPr>
    </w:lvl>
    <w:lvl w:ilvl="2">
      <w:start w:val="0"/>
      <w:numFmt w:val="bullet"/>
      <w:lvlText w:val=""/>
      <w:lvlJc w:val="left"/>
      <w:pPr>
        <w:tabs>
          <w:tab w:val="num" w:pos="0"/>
        </w:tabs>
        <w:ind w:left="2304" w:hanging="360"/>
      </w:pPr>
      <w:rPr>
        <w:rFonts w:ascii="Symbol" w:hAnsi="Symbol" w:cs="Symbol" w:hint="default"/>
      </w:rPr>
    </w:lvl>
    <w:lvl w:ilvl="3">
      <w:start w:val="0"/>
      <w:numFmt w:val="bullet"/>
      <w:lvlText w:val=""/>
      <w:lvlJc w:val="left"/>
      <w:pPr>
        <w:tabs>
          <w:tab w:val="num" w:pos="0"/>
        </w:tabs>
        <w:ind w:left="3096" w:hanging="360"/>
      </w:pPr>
      <w:rPr>
        <w:rFonts w:ascii="Symbol" w:hAnsi="Symbol" w:cs="Symbol" w:hint="default"/>
      </w:rPr>
    </w:lvl>
    <w:lvl w:ilvl="4">
      <w:start w:val="0"/>
      <w:numFmt w:val="bullet"/>
      <w:lvlText w:val=""/>
      <w:lvlJc w:val="left"/>
      <w:pPr>
        <w:tabs>
          <w:tab w:val="num" w:pos="0"/>
        </w:tabs>
        <w:ind w:left="3888" w:hanging="360"/>
      </w:pPr>
      <w:rPr>
        <w:rFonts w:ascii="Symbol" w:hAnsi="Symbol" w:cs="Symbol" w:hint="default"/>
      </w:rPr>
    </w:lvl>
    <w:lvl w:ilvl="5">
      <w:start w:val="0"/>
      <w:numFmt w:val="bullet"/>
      <w:lvlText w:val=""/>
      <w:lvlJc w:val="left"/>
      <w:pPr>
        <w:tabs>
          <w:tab w:val="num" w:pos="0"/>
        </w:tabs>
        <w:ind w:left="4680" w:hanging="360"/>
      </w:pPr>
      <w:rPr>
        <w:rFonts w:ascii="Symbol" w:hAnsi="Symbol" w:cs="Symbol" w:hint="default"/>
      </w:rPr>
    </w:lvl>
    <w:lvl w:ilvl="6">
      <w:start w:val="0"/>
      <w:numFmt w:val="bullet"/>
      <w:lvlText w:val=""/>
      <w:lvlJc w:val="left"/>
      <w:pPr>
        <w:tabs>
          <w:tab w:val="num" w:pos="0"/>
        </w:tabs>
        <w:ind w:left="5472" w:hanging="360"/>
      </w:pPr>
      <w:rPr>
        <w:rFonts w:ascii="Symbol" w:hAnsi="Symbol" w:cs="Symbol" w:hint="default"/>
      </w:rPr>
    </w:lvl>
    <w:lvl w:ilvl="7">
      <w:start w:val="0"/>
      <w:numFmt w:val="bullet"/>
      <w:lvlText w:val=""/>
      <w:lvlJc w:val="left"/>
      <w:pPr>
        <w:tabs>
          <w:tab w:val="num" w:pos="0"/>
        </w:tabs>
        <w:ind w:left="6264" w:hanging="360"/>
      </w:pPr>
      <w:rPr>
        <w:rFonts w:ascii="Symbol" w:hAnsi="Symbol" w:cs="Symbol" w:hint="default"/>
      </w:rPr>
    </w:lvl>
    <w:lvl w:ilvl="8">
      <w:start w:val="0"/>
      <w:numFmt w:val="bullet"/>
      <w:lvlText w:val=""/>
      <w:lvlJc w:val="left"/>
      <w:pPr>
        <w:tabs>
          <w:tab w:val="num" w:pos="0"/>
        </w:tabs>
        <w:ind w:left="7056" w:hanging="360"/>
      </w:pPr>
      <w:rPr>
        <w:rFonts w:ascii="Symbol" w:hAnsi="Symbol" w:cs="Symbol" w:hint="default"/>
      </w:rPr>
    </w:lvl>
  </w:abstractNum>
  <w:abstractNum w:abstractNumId="6">
    <w:lvl w:ilvl="0">
      <w:start w:val="1"/>
      <w:numFmt w:val="lowerLetter"/>
      <w:lvlText w:val="%1)"/>
      <w:lvlJc w:val="left"/>
      <w:pPr>
        <w:tabs>
          <w:tab w:val="num" w:pos="0"/>
        </w:tabs>
        <w:ind w:left="566" w:hanging="248"/>
      </w:pPr>
      <w:rPr>
        <w:rFonts w:ascii="Quattrocento Sans" w:hAnsi="Quattrocento Sans" w:eastAsia="Quattrocento Sans" w:cs="Quattrocento Sans"/>
        <w:b w:val="false"/>
        <w:bCs w:val="false"/>
        <w:i w:val="false"/>
        <w:iCs w:val="false"/>
        <w:sz w:val="20"/>
        <w:szCs w:val="20"/>
      </w:rPr>
    </w:lvl>
    <w:lvl w:ilvl="1">
      <w:start w:val="1"/>
      <w:numFmt w:val="upperLetter"/>
      <w:lvlText w:val="%2."/>
      <w:lvlJc w:val="left"/>
      <w:pPr>
        <w:tabs>
          <w:tab w:val="num" w:pos="0"/>
        </w:tabs>
        <w:ind w:left="926" w:hanging="360"/>
      </w:pPr>
      <w:rPr>
        <w:rFonts w:ascii="Quattrocento Sans" w:hAnsi="Quattrocento Sans" w:eastAsia="Quattrocento Sans" w:cs="Quattrocento Sans"/>
        <w:b w:val="false"/>
        <w:bCs w:val="false"/>
        <w:i w:val="false"/>
        <w:iCs w:val="false"/>
        <w:sz w:val="20"/>
        <w:szCs w:val="20"/>
      </w:rPr>
    </w:lvl>
    <w:lvl w:ilvl="2">
      <w:start w:val="0"/>
      <w:numFmt w:val="bullet"/>
      <w:lvlText w:val=""/>
      <w:lvlJc w:val="left"/>
      <w:pPr>
        <w:tabs>
          <w:tab w:val="num" w:pos="0"/>
        </w:tabs>
        <w:ind w:left="1777" w:hanging="360"/>
      </w:pPr>
      <w:rPr>
        <w:rFonts w:ascii="Symbol" w:hAnsi="Symbol" w:cs="Symbol" w:hint="default"/>
      </w:rPr>
    </w:lvl>
    <w:lvl w:ilvl="3">
      <w:start w:val="0"/>
      <w:numFmt w:val="bullet"/>
      <w:lvlText w:val=""/>
      <w:lvlJc w:val="left"/>
      <w:pPr>
        <w:tabs>
          <w:tab w:val="num" w:pos="0"/>
        </w:tabs>
        <w:ind w:left="2635" w:hanging="360"/>
      </w:pPr>
      <w:rPr>
        <w:rFonts w:ascii="Symbol" w:hAnsi="Symbol" w:cs="Symbol" w:hint="default"/>
      </w:rPr>
    </w:lvl>
    <w:lvl w:ilvl="4">
      <w:start w:val="0"/>
      <w:numFmt w:val="bullet"/>
      <w:lvlText w:val=""/>
      <w:lvlJc w:val="left"/>
      <w:pPr>
        <w:tabs>
          <w:tab w:val="num" w:pos="0"/>
        </w:tabs>
        <w:ind w:left="3493" w:hanging="360"/>
      </w:pPr>
      <w:rPr>
        <w:rFonts w:ascii="Symbol" w:hAnsi="Symbol" w:cs="Symbol" w:hint="default"/>
      </w:rPr>
    </w:lvl>
    <w:lvl w:ilvl="5">
      <w:start w:val="0"/>
      <w:numFmt w:val="bullet"/>
      <w:lvlText w:val=""/>
      <w:lvlJc w:val="left"/>
      <w:pPr>
        <w:tabs>
          <w:tab w:val="num" w:pos="0"/>
        </w:tabs>
        <w:ind w:left="4351" w:hanging="360"/>
      </w:pPr>
      <w:rPr>
        <w:rFonts w:ascii="Symbol" w:hAnsi="Symbol" w:cs="Symbol" w:hint="default"/>
      </w:rPr>
    </w:lvl>
    <w:lvl w:ilvl="6">
      <w:start w:val="0"/>
      <w:numFmt w:val="bullet"/>
      <w:lvlText w:val=""/>
      <w:lvlJc w:val="left"/>
      <w:pPr>
        <w:tabs>
          <w:tab w:val="num" w:pos="0"/>
        </w:tabs>
        <w:ind w:left="5208" w:hanging="360"/>
      </w:pPr>
      <w:rPr>
        <w:rFonts w:ascii="Symbol" w:hAnsi="Symbol" w:cs="Symbol" w:hint="default"/>
      </w:rPr>
    </w:lvl>
    <w:lvl w:ilvl="7">
      <w:start w:val="0"/>
      <w:numFmt w:val="bullet"/>
      <w:lvlText w:val=""/>
      <w:lvlJc w:val="left"/>
      <w:pPr>
        <w:tabs>
          <w:tab w:val="num" w:pos="0"/>
        </w:tabs>
        <w:ind w:left="6066" w:hanging="360"/>
      </w:pPr>
      <w:rPr>
        <w:rFonts w:ascii="Symbol" w:hAnsi="Symbol" w:cs="Symbol" w:hint="default"/>
      </w:rPr>
    </w:lvl>
    <w:lvl w:ilvl="8">
      <w:start w:val="0"/>
      <w:numFmt w:val="bullet"/>
      <w:lvlText w:val=""/>
      <w:lvlJc w:val="left"/>
      <w:pPr>
        <w:tabs>
          <w:tab w:val="num" w:pos="0"/>
        </w:tabs>
        <w:ind w:left="6924" w:hanging="36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YToGvO10SK1X3gSNr51tQtTQf8w==">CgMxLjAaJwoBMBIiCiAIBCocCgtBQUFCNUFoWElHURAIGgtBQUFCNUFoWElHURonCgExEiIKIAgEKhwKC0FBQUI1QWhYSUdVEAgaC0FBQUI1QWhYSUdVGicKATISIgogCAQqHAoLQUFBQjZwYzJnQUkQCBoLQUFBQjZwYzJnQUkaJwoBMxIiCiAIBCocCgtBQUFCNnBjMmdBTRAIGgtBQUFCNnBjMmdBTRonCgE0EiIKIAgEKhwKC0FBQUI2cGMyZ0EwEAgaC0FBQUI2cGMyZ0EwGicKATUSIgogCAQqHAoLQUFBQjZwYzJnQTQQCBoLQUFBQjZwYzJnQTQaJwoBNhIiCiAIBCocCgtBQUFCNnBjMmdCQRAIGgtBQUFCNnBjMmdCQRonCgE3EiIKIAgEKhwKC0FBQUI2cGMyZ0JjEAgaC0FBQUI2cGMyZ0JjGicKATgSIgogCAQqHAoLQUFBQjZwYzJnQmcQCBoLQUFBQjZwYzJnQmcaJwoBORIiCiAIBCocCgtBQUFCNnBjMmdKOBAIGgtBQUFCNnBjMmdKOBooCgIxMBIiCiAIBCocCgtBQUFCNnBjMmdLQRAIGgtBQUFCNnBjMmdLQRooCgIxMRIiCiAIBCocCgtBQUFCNnBjMmdISRAIGgtBQUFCNnBjMmdISRooCgIxMhIiCiAIBCocCgtBQUFCNnBjMmdJMBAIGgtBQUFCNnBjMmdJMBooCgIxMxIiCiAIBCocCgtBQUFCNnBjMmdLURAIGgtBQUFCNnBjMmdLURooCgIxNBIiCiAIBCocCgtBQUFCNnBjMmdLVRAIGgtBQUFCNnBjMmdLVSLrAgoLQUFBQjZwYzJnSEkSuQIKC0FBQUI2cGMyZ0hJEgtBQUFCNnBjMmdISRo+Cgl0ZXh0L2h0bWwSMVBPUkNFTlRBSkUgREVMIElOVkVSU0lPTklTVEEgRU4gTEVUUkFTIE1JTlVTQ1VMQVMiPwoKdGV4dC9wbGFpbhIxUE9SQ0VOVEFKRSBERUwgSU5WRVJTSU9OSVNUQSBFTiBMRVRSQVMgTUlOVVNDVUxBUyobIhUxMDExNzYyMDg4MDU3MTIxNzIwMDYoADgAMLLRlaXdMziy0ZWl3TNKFQoKdGV4dC9wbGFpbhIHX19fX19fX1oMOHFwa2RlajRnNDlncgIgAHgAmgEGCAAQABgAqgEzEjFQT1JDRU5UQUpFIERFTCBJTlZFUlNJT05JU1RBIEVOIExFVFJBUyBNSU5VU0NVTEFTsAEAuAEAyAEAGLLRlaXdMyCy0ZWl3TMwAEIQa2l4LjE1dG9ycXV1bzhqaCK7AwoLQUFBQjZwYzJnQmMSiQMKC0FBQUI2cGMyZ0JjEgtBQUFCNnBjMmdCYxpTCgl0ZXh0L2h0bWwSRk7Dmk1FUk8gREVMIERQSSBFTiBMRVRSQVMgTUlOw5pTQ1VMQVMgWSBFTlRSRSBQQVLDiU5URVNJUyBMT1MgTsOaTUVST1MiVAoKdGV4dC9wbGFpbhJGTsOaTUVSTyBERUwgRFBJIEVOIExFVFJBUyBNSU7DmlNDVUxBUyBZIEVOVFJFIFBBUsOJTlRFU0lTIExPUyBOw5pNRVJPUyobIhUxMDExNzYyMDg4MDU3MTIxNzIwMDYoADgAMLnnrqTdMzi5566k3TNKJgoKdGV4dC9wbGFpbhIYX19fX19fX19fX19fX19fIChfX19fX18pWgxzM3VvOHFwcno3ZHhyAiAAeACaAQYIABAAGACqAUgSRk7Dmk1FUk8gREVMIERQSSBFTiBMRVRSQVMgTUlOw5pTQ1VMQVMgWSBFTlRSRSBQQVLDiU5URVNJUyBMT1MgTsOaTUVST1OwAQC4AQDIAQAYueeupN0zILnnrqTdMzAAQhBraXgudGcza3F3NHVqZzZ1IrQCCgtBQUFCNnBjMmdCQRKCAgoLQUFBQjZwYzJnQkESC0FBQUI2cGMyZ0JBGisKCXRleHQvaHRtbBIeTkFDSU9OQUxJREFEIERFTCBJTlZFUlNJT05JU1RBIiwKCnRleHQvcGxhaW4SHk5BQ0lPTkFMSURBRCBERUwgSU5WRVJTSU9OSVNUQSobIhUxMDExNzYyMDg4MDU3MTIxNzIwMDYoADgAML2bpKTdMzi9m6Sk3TNKFwoKdGV4dC9wbGFpbhIJX19fX19fX19fWgxpdTF5aDMzMW9wMHpyAiAAeACaAQYIABAAGACqASASHk5BQ0lPTkFMSURBRCBERUwgSU5WRVJTSU9OSVNUQbABALgBAMgBABi9m6Sk3TMgvZukpN0zMABCEGtpeC5xbDBxaDlhb2V3MWQivAIKC0FBQUI1QWhYSUdVEowCCgtBQUFCNUFoWElHVRILQUFBQjVBaFhJR1UaMgoJdGV4dC9odG1sEiVFREFEIERFIFJJQ0hBUkQgRU4gTEVUUkFTIE1JTsOaU0NVTEFTIjMKCnRleHQvcGxhaW4SJUVEQUQgREUgUklDSEFSRCBFTiBMRVRSQVMgTUlOw5pTQ1VMQVMqGyIVMTAxMTc2MjA4ODA1NzEyMTcyMDA2KAA4ADCkpoPY3TM4pKaD2N0zShUKCnRleHQvcGxhaW4SB19fX19fX19aDG83YTRsNmxyZDMzcHICIAB4AJoBBggAEAAYAKoBJxIlRURBRCBERSBSSUNIQVJEIEVOIExFVFJBUyBNSU7DmlNDVUxBUxikpoPY3TMgpKaD2N0zQhBraXguZTJ4bzdwdDZ4NGlrIrUCCgtBQUFCNUFoWElHURKFAgoLQUFBQjVBaFhJR1ESC0FBQUI1QWhYSUdRGjAKCXRleHQvaHRtbBIjRURBRCBERSBBTkRSRVMgRU4gTEVUUkFTIE1JTlVTQ1VMQVMiMQoKdGV4dC9wbGFpbhIjRURBRCBERSBBTkRSRVMgRU4gTEVUUkFTIE1JTlVTQ1VMQVMqGyIVMTAxMTc2MjA4ODA1NzEyMTcyMDA2KAA4ADDfr4LY3TM436+C2N0zShQKCnRleHQvcGxhaW4SBl9fX19fX1oMeXBndGtjaHF4aTkwcgIgAHgAmgEGCAAQABgAqgElEiNFREFEIERFIEFORFJFUyBFTiBMRVRSQVMgTUlOVVNDVUxBUxjfr4LY3TMg36+C2N0zQhBraXguMjg4MngxZmNlM3lyIqsCCgtBQUFCNnBjMmdLQRL5AQoLQUFBQjZwYzJnS0ESC0FBQUI2cGMyZ0tBGioKCXRleHQvaHRtbBIdUE9SQ0VOVEFKRSBFTiBOVU1FUk9TIERFIENVQkUiKwoKdGV4dC9wbGFpbhIdUE9SQ0VOVEFKRSBFTiBOVU1FUk9TIERFIENVQkUqGyIVMTAxMTc2MjA4ODA1NzEyMTcyMDA2KAA4ADDZ7L6l3TM42ey+pd0zShEKCnRleHQvcGxhaW4SA19fX1oMaHd5c3BtZDJ3eHc1cgIgAHgAmgEGCAAQABgAqgEfEh1QT1JDRU5UQUpFIEVOIE5VTUVST1MgREUgQ1VCRbABALgBAMgBABjZ7L6l3TMg2ey+pd0zMABCEGtpeC5wNHBzNWJjM2NvYjYiqgIKC0FBQUI2cGMyZ0E0EvgBCgtBQUFCNnBjMmdBNBILQUFBQjZwYzJnQTQaKAoJdGV4dC9odG1sEhtQUk9GRVNJT04gREVMIElOVkVSU0lPTklTVEEiKQoKdGV4dC9wbGFpbhIbUFJPRkVTSU9OIERFTCBJTlZFUlNJT05JU1RBKhsiFTEwMTE3NjIwODgwNTcxMjE3MjAwNigAOAAwnZmjpN0zOJ2Zo6TdM0oWCgp0ZXh0L3BsYWluEghfX19fX19fX1oMZmE4bHUzNG9hN2J1cgIgAHgAmgEGCAAQABgAqgEdEhtQUk9GRVNJT04gREVMIElOVkVSU0lPTklTVEGwAQC4AQDIAQAYnZmjpN0zIJ2Zo6TdMzAAQhBraXguZG5pczU4Y2pnOWw0IrACCgtBQUFCNnBjMmdBMBL+AQoLQUFBQjZwYzJnQTASC0FBQUI2cGMyZ0EwGisKCXRleHQvaHRtbBIeRVNUQURPIENJVklMIERFTCBJTlZFUlNJT05JU1RBIiwKCnRleHQvcGxhaW4SHkVTVEFETyBDSVZJTCBERUwgSU5WRVJTSU9OSVNUQSobIhUxMDExNzYyMDg4MDU3MTIxNzIwMDYoADgAMIehoqTdMziHoaKk3TNKEwoKdGV4dC9wbGFpbhIFX19fX19aDHByOWRrb3plcHpjc3ICIAB4AJoBBggAEAAYAKoBIBIeRVNUQURPIENJVklMIERFTCBJTlZFUlNJT05JU1RBsAEAuAEAyAEAGIehoqTdMyCHoaKk3TMwAEIQa2l4LmM5c3c2dWlrZ3dpdyKoAgoLQUFBQjZwYzJnSjgS9gEKC0FBQUI2cGMyZ0o4EgtBQUFCNnBjMmdKOBopCgl0ZXh0L2h0bWwSHFBPUkNFTlRBSkUgRU4gTEVUUkFTIERFIENVQkUiKgoKdGV4dC9wbGFpbhIcUE9SQ0VOVEFKRSBFTiBMRVRSQVMgREUgQ1VCRSobIhUxMDExNzYyMDg4MDU3MTIxNzIwMDYoADgAMOT0vaXdMzjk9L2l3TNKEQoKdGV4dC9wbGFpbhIDX19fWgxldGw2b3V0ZmN0NzZyAiAAeACaAQYIABAAGACqAR4SHFBPUkNFTlRBSkUgRU4gTEVUUkFTIERFIENVQkWwAQC4AQDIAQAY5PS9pd0zIOT0vaXdMzAAQhBraXguajMxeHVmODdhNXFtIuQCCgtBQUFCNnBjMmdBTRKyAgoLQUFBQjZwYzJnQU0SC0FBQUI2cGMyZ0FNGjkKCXRleHQvaHRtbBIsRURBRCBERUwgSU5WRVJTSU9OSVNUQSBFTiBMRVRSQVMgTUlOw5pTQ1VMQVMiOgoKdGV4dC9wbGFpbhIsRURBRCBERUwgSU5WRVJTSU9OSVNUQSBFTiBMRVRSQVMgTUlOw5pTQ1VMQVMqGyIVMTAxMTc2MjA4ODA1NzEyMTcyMDA2KAA4ADDl9pyk3TM45facpN0zSh0KCnRleHQvcGxhaW4SD19fX19fX19fX19fX19fX1oMamRoZGdmcDg2YXducgIgAHgAmgEGCAAQABgAqgEuEixFREFEIERFTCBJTlZFUlNJT05JU1RBIEVOIExFVFJBUyBNSU7DmlNDVUxBU7ABALgBAMgBABjl9pyk3TMg5facpN0zMABCEGtpeC45ZWpjbjlwa295anEiyAIKC0FBQUI2cGMyZ0tVEpYCCgtBQUFCNnBjMmdLVRILQUFBQjZwYzJnS1UaOgoJdGV4dC9odG1sEi1OT01CUkUgREVMIElOVkVSU0lPTklTVEEgRU4gTEVUUkFTIE1BWVVTQ1VMQVMiOwoKdGV4dC9wbGFpbhItTk9NQlJFIERFTCBJTlZFUlNJT05JU1RBIEVOIExFVFJBUyBNQVlVU0NVTEFTKhsiFTEwMTE3NjIwODgwNTcxMjE3MjAwNigAOAAwgczDpd0zOIHMw6XdM1oMcTBxbjJvaDlrOHAwcgIgAHgAmgEGCAAQABgAqgEvEi1OT01CUkUgREVMIElOVkVSU0lPTklTVEEgRU4gTEVUUkFTIE1BWVVTQ1VMQVOwAQC4AQDIAQAYgczDpd0zIIHMw6XdMzAAQhBraXguY24wNjJ0ZTE1aTU0IpUDCgtBQUFCNnBjMmdBSRLjAgoLQUFBQjZwYzJnQUkSC0FBQUI2cGMyZ0FJGkYKCXRleHQvaHRtbBI5Tk9NQlJFIERFTCBJTlZFUlNJT05JU1RBIEVOIExFVFJBUyBNQVnDmlNDVUxBUyBZIE5FR1JJTExBIkcKCnRleHQvcGxhaW4SOU5PTUJSRSBERUwgSU5WRVJTSU9OSVNUQSBFTiBMRVRSQVMgTUFZw5pTQ1VMQVMgWSBORUdSSUxMQSobIhUxMDExNzYyMDg4MDU3MTIxNzIwMDYoADgAMPLtm6TdMzjy7Zuk3TNKJwoKdGV4dC9wbGFpbhIZX19fX19fX19fX19fX19fX19fX19fX19fX1oMYWZ1dmQzZ2I4NnZzcgIgAHgAmgEGCAAQABgAqgE7EjlOT01CUkUgREVMIElOVkVSU0lPTklTVEEgRU4gTEVUUkFTIE1BWcOaU0NVTEFTIFkgTkVHUklMTEGwAQC4AQDIAQAY8u2bpN0zIPLtm6TdMzAAQhBraXguN3h2aWRweTdkdjVpIsgCCgtBQUFCNnBjMmdJMBKXAgoLQUFBQjZwYzJnSTASC0FBQUI2cGMyZ0kwGjQKCXRleHQvaHRtbBInUE9SQ0VOVEFKRSBERUwgSU5WRVJTSU9OSVNUQSBFTiBOVU1FUk9TIjUKCnRleHQvcGxhaW4SJ1BPUkNFTlRBSkUgREVMIElOVkVSU0lPTklTVEEgRU4gTlVNRVJPUyobIhUxMDExNzYyMDg4MDU3MTIxNzIwMDYoADgAMJW9raXdMziVva2l3TNKEQoKdGV4dC9wbGFpbhIDX19fWgxtZHhyOHE4ZDc5aWRyAiAAeACaAQYIABAAGACqASkSJ1BPUkNFTlRBSkUgREVMIElOVkVSU0lPTklTVEEgRU4gTlVNRVJPU7ABALgBAMgBABiVva2l3TMglb2tpd0zMABCD2tpeC5rMHZpMzI0ajU5dSKSAwoLQUFBQjZwYzJnS1ES4AIKC0FBQUI2cGMyZ0tREgtBQUFCNnBjMmdLURpHCgl0ZXh0L2h0bWwSOkZFQ0hBIEVOIExBIFFVRSBTRSBGSVJNQSBFTCBDT05UUkFUTyBFTiBMRVRSQVMgTUlOw5pTQ1VMQVMiSAoKdGV4dC9wbGFpbhI6RkVDSEEgRU4gTEEgUVVFIFNFIEZJUk1BIEVMIENPTlRSQVRPIEVOIExFVFJBUyBNSU7DmlNDVUxBUyobIhUxMDExNzYyMDg4MDU3MTIxNzIwMDYoADgAMM7AwqXdMzjOwMKl3TNKIQoKdGV4dC9wbGFpbhITX19fX19fX19fX19fX19fX19fX1oMcG9pN2d4eDVycXlxcgIgAHgAmgEGCAAQABgAqgE8EjpGRUNIQSBFTiBMQSBRVUUgU0UgRklSTUEgRUwgQ09OVFJBVE8gRU4gTEVUUkFTIE1JTsOaU0NVTEFTsAEAuAEAyAEAGM7AwqXdMyDOwMKl3TMwAEIQa2l4LmV5Mml4cnc3aW5yaiKOAwoLQUFBQjZwYzJnQmcS3AIKC0FBQUI2cGMyZ0JnEgtBQUFCNnBjMmdCZxpHCgl0ZXh0L2h0bWwSOkZFQ0hBIEVOIExBIFFVRSBTRSBGSVJNQSBFTCBBQ1VFUkRPLCBFTiBMRVRSQVMgTUlOw5pTQ1VMQVMiSAoKdGV4dC9wbGFpbhI6RkVDSEEgRU4gTEEgUVVFIFNFIEZJUk1BIEVMIEFDVUVSRE8sIEVOIExFVFJBUyBNSU7DmlNDVUxBUyobIhUxMDExNzYyMDg4MDU3MTIxNzIwMDYoADgAMPX1sKTdMzj19bCk3TNKHQoKdGV4dC9wbGFpbhIPX19fX19fX19fX19fX19fWgxhNnI4ZWhiaTdqeHByAiAAeACaAQYIABAAGACqATwSOkZFQ0hBIEVOIExBIFFVRSBTRSBGSVJNQSBFTCBBQ1VFUkRPLCBFTiBMRVRSQVMgTUlOw5pTQ1VMQVOwAQC4AQDIAQAY9fWwpN0zIPX1sKTdMzAAQhBraXguNGF2dm9nMXNrOGFvMg5oLnYzMWh2NDR6eHdmMjgAciExeldpTkt4STdEc0lBdjJiN0M5UjhQVnUtbHVuaS1CZ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26</TotalTime>
  <Application>LibreOffice/26.2.3.2$Linux_X86_64 LibreOffice_project/620$Build-2</Application>
  <AppVersion>15.0000</AppVersion>
  <Pages>9</Pages>
  <Words>3858</Words>
  <Characters>22267</Characters>
  <CharactersWithSpaces>25993</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2026-06-09T11:18:05Z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2025-09-15T00:00:00Z</vt:lpwstr>
  </property>
  <property fmtid="{D5CDD505-2E9C-101B-9397-08002B2CF9AE}" pid="3" name="Creator">
    <vt:lpwstr>Microsoft® Word para Microsoft 365</vt:lpwstr>
  </property>
  <property fmtid="{D5CDD505-2E9C-101B-9397-08002B2CF9AE}" pid="4" name="LastSaved">
    <vt:lpwstr>2025-09-30T00:00:00Z</vt:lpwstr>
  </property>
  <property fmtid="{D5CDD505-2E9C-101B-9397-08002B2CF9AE}" pid="5" name="Producer">
    <vt:lpwstr>Microsoft® Word para Microsoft 365</vt:lpwstr>
  </property>
</Properties>
</file>