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jpeg" ContentType="image/jpeg"/>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76" w:before="0" w:after="0"/>
        <w:ind w:hanging="0" w:left="0" w:right="0"/>
        <w:jc w:val="center"/>
        <w:rPr>
          <w:rFonts w:ascii="Quattrocento Sans" w:hAnsi="Quattrocento Sans" w:eastAsia="Quattrocento Sans" w:cs="Quattrocento Sans"/>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center"/>
        <w:rPr>
          <w:rFonts w:ascii="Quattrocento Sans" w:hAnsi="Quattrocento Sans" w:eastAsia="Quattrocento Sans" w:cs="Quattrocento Sans"/>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CONTRATO DE PRESTACIÓN DE SERVICIOS DE RECEPCIÓN DE PAGOS POR CUENTA DE TERCEROS Y GESTIONES DE COBRANZA</w:t>
      </w:r>
    </w:p>
    <w:p>
      <w:pPr>
        <w:pStyle w:val="normal1"/>
        <w:keepNext w:val="false"/>
        <w:keepLines w:val="false"/>
        <w:pageBreakBefore w:val="false"/>
        <w:widowControl w:val="false"/>
        <w:shd w:val="clear" w:fill="auto"/>
        <w:spacing w:lineRule="auto" w:line="240" w:before="173"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Nosotros:</w:t>
      </w:r>
    </w:p>
    <w:p>
      <w:pPr>
        <w:pStyle w:val="normal1"/>
        <w:keepNext w:val="false"/>
        <w:keepLines w:val="false"/>
        <w:pageBreakBefore w:val="false"/>
        <w:widowControl w:val="false"/>
        <w:numPr>
          <w:ilvl w:val="0"/>
          <w:numId w:val="6"/>
        </w:numPr>
        <w:shd w:val="clear" w:fill="auto"/>
        <w:tabs>
          <w:tab w:val="clear" w:pos="720"/>
          <w:tab w:val="left" w:pos="812" w:leader="none"/>
          <w:tab w:val="left" w:pos="3058" w:leader="none"/>
          <w:tab w:val="left" w:pos="4152" w:leader="none"/>
          <w:tab w:val="left" w:pos="5922" w:leader="none"/>
        </w:tabs>
        <w:spacing w:lineRule="auto" w:line="276" w:before="240" w:after="0"/>
        <w:ind w:hanging="0" w:left="566" w:right="27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JOSÉ ANDRES ASENSIO HERNÁNDEZ,</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w:t>
      </w:r>
      <w:sdt>
        <w:sdtPr>
          <w:tag w:val="goog_rdk_0"/>
          <w:id w:val="-469044742"/>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w:t>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edadAndres}</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años de edad, casado, Comerciante, guatemalteco, de este domicilio, me identifico con el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 xml:space="preserve">Administrador Único y Representante Legal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de la entidad denominada </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CUBE INVESTMENTS, SOCIEDAD ANÓNIMA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también referido como la “Contratista” o “Cube Investments”),</w:t>
      </w:r>
    </w:p>
    <w:p>
      <w:pPr>
        <w:pStyle w:val="normal1"/>
        <w:keepNext w:val="false"/>
        <w:keepLines w:val="false"/>
        <w:pageBreakBefore w:val="false"/>
        <w:widowControl w:val="false"/>
        <w:numPr>
          <w:ilvl w:val="0"/>
          <w:numId w:val="6"/>
        </w:numPr>
        <w:shd w:val="clear" w:fill="auto"/>
        <w:tabs>
          <w:tab w:val="clear" w:pos="720"/>
          <w:tab w:val="left" w:pos="898" w:leader="none"/>
          <w:tab w:val="left" w:pos="1649" w:leader="none"/>
          <w:tab w:val="left" w:pos="3963" w:leader="none"/>
          <w:tab w:val="left" w:pos="7050" w:leader="none"/>
        </w:tabs>
        <w:spacing w:lineRule="auto" w:line="276" w:before="200"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bookmarkStart w:id="0" w:name="_heading=h.v31hv44zxwf2"/>
      <w:bookmarkEnd w:id="0"/>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RICHARD KACHLER ORTEGA,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w:t>
      </w:r>
      <w:sdt>
        <w:sdtPr>
          <w:tag w:val="goog_rdk_1"/>
          <w:id w:val="-1831260342"/>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{edadRichard}</w:t>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años de edad, soltero, Licenciado en Administración Hotelera, guatemalteco, de este domicilio, me identifico con Documento Personal de Identificación, Código Único de Identificación un mil quinientos setenta y tres, sesenta y seis mil ciento noventa y siete, cero ciento uno (1573 66197 0101), extendido por el Registro Nacional de las Personas –RENAP- República de Guatemala Centroamérica, actuando en mi calidad de </w:t>
      </w:r>
      <w:r>
        <w:rPr>
          <w:rFonts w:eastAsia="Quattrocento Sans" w:cs="Quattrocento Sans"/>
          <w:b/>
          <w:bCs/>
          <w:i/>
          <w:iCs/>
          <w:caps w:val="false"/>
          <w:smallCaps w:val="false"/>
          <w:strike w:val="false"/>
          <w:dstrike w:val="false"/>
          <w:color w:val="000000"/>
          <w:position w:val="0"/>
          <w:sz w:val="20"/>
          <w:sz w:val="20"/>
          <w:szCs w:val="20"/>
          <w:u w:val="none"/>
          <w:shd w:fill="auto" w:val="clear"/>
          <w:vertAlign w:val="baseline"/>
        </w:rPr>
        <w:t>Administrador Y Representante Legal,</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la entidad mercantil denominada </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RDBE, SOCIEDAD ANÓNIMA,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lo que acredito con el acta notarial que contiene nombramiento, autorizado en esta ciudad el veintitrés de junio del año dos mil veinticinco,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(en adelante también referido como la entidad “GARANTE”); y,</w:t>
      </w:r>
    </w:p>
    <w:p>
      <w:pPr>
        <w:pStyle w:val="normal1"/>
        <w:keepNext w:val="false"/>
        <w:keepLines w:val="false"/>
        <w:pageBreakBefore w:val="false"/>
        <w:widowControl w:val="false"/>
        <w:numPr>
          <w:ilvl w:val="0"/>
          <w:numId w:val="6"/>
        </w:numPr>
        <w:shd w:val="clear" w:fill="auto"/>
        <w:tabs>
          <w:tab w:val="clear" w:pos="720"/>
          <w:tab w:val="left" w:pos="898" w:leader="none"/>
          <w:tab w:val="left" w:pos="1649" w:leader="none"/>
          <w:tab w:val="left" w:pos="3963" w:leader="none"/>
          <w:tab w:val="left" w:pos="7050" w:leader="none"/>
        </w:tabs>
        <w:spacing w:lineRule="auto" w:line="276" w:before="200"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b/>
          <w:bCs/>
          <w:sz w:val="20"/>
          <w:szCs w:val="20"/>
        </w:rPr>
        <w:t>{nombreCompleto}</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de </w:t>
      </w:r>
      <w:sdt>
        <w:sdtPr>
          <w:tag w:val="goog_rdk_3"/>
          <w:id w:val="-653319761"/>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{edad}</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años de edad, {estadoCivil}, {profesion}, {nacionalidad}, de este domicilio, me identifico con Documento Personal de Identificación, Código Único de Identificación </w:t>
      </w:r>
      <w:sdt>
        <w:sdtPr>
          <w:tag w:val="goog_rdk_7"/>
          <w:id w:val="-994974017"/>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{dpiTexto}</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(dpi), extendido por el Registro Nacional de las Personas –RENAP-, República de Guatemala, Centroamérica, (en adelante referido como el “Contratante”)</w:t>
      </w:r>
    </w:p>
    <w:p>
      <w:pPr>
        <w:pStyle w:val="normal1"/>
        <w:keepNext w:val="false"/>
        <w:keepLines w:val="false"/>
        <w:pageBreakBefore w:val="false"/>
        <w:widowControl w:val="false"/>
        <w:shd w:val="clear" w:fill="auto"/>
        <w:spacing w:lineRule="auto" w:line="276" w:before="240"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Expresamos ser de las generales indicadas; hallarnos en el libre ejercicio de nuestros derechos civiles; y, que en las calidades con que actuamos, comparecemos con el objeto de celebrar CONTRATO DE PRESTACIÓN DE SERVICIOS DE RECEPCIÓN DE PAGOS POR</w:t>
      </w:r>
    </w:p>
    <w:p>
      <w:pPr>
        <w:pStyle w:val="normal1"/>
        <w:keepNext w:val="false"/>
        <w:keepLines w:val="false"/>
        <w:pageBreakBefore w:val="false"/>
        <w:widowControl w:val="false"/>
        <w:shd w:val="clear" w:fill="auto"/>
        <w:spacing w:lineRule="auto" w:line="264"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CUENTA DE TERCEROS Y GESTIONES DE COBRANZA (en adelante “Contrato de Servicios”</w:t>
      </w:r>
    </w:p>
    <w:p>
      <w:pPr>
        <w:pStyle w:val="normal1"/>
        <w:keepNext w:val="false"/>
        <w:keepLines w:val="false"/>
        <w:pageBreakBefore w:val="false"/>
        <w:widowControl w:val="false"/>
        <w:shd w:val="clear" w:fill="auto"/>
        <w:spacing w:lineRule="auto" w:line="240" w:before="39"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o simplemente el “Contrato”), para lo cual manifestamos lo siguiente:</w:t>
      </w:r>
    </w:p>
    <w:p>
      <w:pPr>
        <w:pStyle w:val="normal1"/>
        <w:keepNext w:val="false"/>
        <w:keepLines w:val="false"/>
        <w:pageBreakBefore w:val="false"/>
        <w:widowControl w:val="false"/>
        <w:shd w:val="clear" w:fill="auto"/>
        <w:spacing w:lineRule="auto" w:line="240" w:before="1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PRIMERA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ANTECEDENTES:</w:t>
      </w:r>
    </w:p>
    <w:p>
      <w:pPr>
        <w:pStyle w:val="normal1"/>
        <w:keepNext w:val="false"/>
        <w:keepLines w:val="false"/>
        <w:pageBreakBefore w:val="false"/>
        <w:widowControl w:val="false"/>
        <w:shd w:val="clear" w:fill="auto"/>
        <w:tabs>
          <w:tab w:val="clear" w:pos="720"/>
          <w:tab w:val="left" w:pos="5422" w:leader="none"/>
        </w:tabs>
        <w:spacing w:lineRule="auto" w:line="276" w:before="241"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Las partes manifiestan que, con fecha </w:t>
      </w:r>
      <w:sdt>
        <w:sdtPr>
          <w:tag w:val="goog_rdk_8"/>
          <w:id w:val="584322312"/>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w:t>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diaTexto} de {mesTexto} de dos mil {anoTexto}</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suscribieron un Acuerdo Privado de Inversión (el “Acuerdo”), en el cual estipularon y acordaron las condiciones bajo las cuales el contratante, a su sola discreción, podrá invertir recursos monetarios por medio de la plataforma propiedad de la Contratista. En consecuencia, el presente Contrato de Servicios debe interpretarse dentro del marco, estipulaciones y limitaciones del referido Acuerdo.</w:t>
      </w:r>
    </w:p>
    <w:p>
      <w:pPr>
        <w:pStyle w:val="normal1"/>
        <w:keepNext w:val="false"/>
        <w:keepLines w:val="false"/>
        <w:pageBreakBefore w:val="false"/>
        <w:widowControl w:val="false"/>
        <w:shd w:val="clear" w:fill="auto"/>
        <w:spacing w:lineRule="auto" w:line="276" w:before="200"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contratante manifiesta que, derivado del Acuerdo de Inversión, podrá participar bajo distintas modalidades de inversión, incluyendo: (i) la celebración de contratos de cesión de créditos, o (ii) la celebración de contratos de reconocimiento de deuda con distintas personas naturales o jurídicas (los “Contratos de Deuda”), mismos que se formalizarán en sus respectivos instrumentos y que podrán adjuntarse como anexos al presente Contrato, de tiempo en tiempo. Cada Contrato de Deuda reflejará el capital adeudado a favor de el contratante y los intereses pactados conforme a sus condiciones individuales; así mismo, cada cesión de deuda que se le haga a su favor reflejará también las condiciones acordadas en su momento con el cliente en particular.</w:t>
      </w:r>
    </w:p>
    <w:p>
      <w:pPr>
        <w:pStyle w:val="normal1"/>
        <w:keepNext w:val="false"/>
        <w:keepLines w:val="false"/>
        <w:pageBreakBefore w:val="false"/>
        <w:widowControl w:val="false"/>
        <w:shd w:val="clear" w:fill="auto"/>
        <w:spacing w:lineRule="auto" w:line="276" w:before="201"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Asimismo, derivado de la forma de participación en la inversión elegida, las partes acuerdan que todo pago de capital e intereses a favor de el contratante se canalizará a través de Cube Investments, S.A., quien, en calidad de administrador, receptora de pagos por cuenta de tercero y agente de cobranza, recibirá dichos pagos y los trasladará a el contratante conforme a lo estipulado en cada Contrato de Deuda y el Acuerdo de Inversión. La responsabilidad de Cube Investments, S.A. se limita a la correcta administración y traslado de los fondos efectivamente recibidos, sin garantizar el pago oportuno o íntegro por parte del deudor.</w:t>
      </w:r>
    </w:p>
    <w:p>
      <w:pPr>
        <w:pStyle w:val="normal1"/>
        <w:keepNext w:val="false"/>
        <w:keepLines w:val="false"/>
        <w:pageBreakBefore w:val="false"/>
        <w:widowControl w:val="false"/>
        <w:shd w:val="clear" w:fill="auto"/>
        <w:spacing w:lineRule="auto" w:line="276" w:before="201"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De igual forma, cuando la modalidad elegida consista en la adquisición de créditos en cartera activa, el contratante acepta recibir dichos créditos en el estado en que se encuentren, incluyendo las condiciones y garantías constituidas, sin que exista obligación de Cube Investments, S.A. de subrogar, novar o modificar tales condiciones.</w:t>
      </w:r>
    </w:p>
    <w:p>
      <w:pPr>
        <w:pStyle w:val="normal1"/>
        <w:keepNext w:val="false"/>
        <w:keepLines w:val="false"/>
        <w:pageBreakBefore w:val="false"/>
        <w:widowControl w:val="false"/>
        <w:shd w:val="clear" w:fill="auto"/>
        <w:spacing w:lineRule="auto" w:line="240" w:before="199"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SEGUNDA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OBJETO DEL CONTRATO Y HONORARIOS DEL CONTRATISTA.</w:t>
      </w:r>
    </w:p>
    <w:p>
      <w:pPr>
        <w:pStyle w:val="normal1"/>
        <w:keepNext w:val="false"/>
        <w:keepLines w:val="false"/>
        <w:pageBreakBefore w:val="false"/>
        <w:widowControl w:val="false"/>
        <w:shd w:val="clear" w:fill="auto"/>
        <w:spacing w:lineRule="auto" w:line="276" w:before="241" w:after="0"/>
        <w:ind w:hanging="0" w:left="56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Por medio del presente Contrato, Cube Investments, Sociedad Anónima (la “Contratista”) se compromete a prestar servicios de administración, consistentes en la recepción de pagos por cuenta de terceros y en la realización de todas las gestiones ordinarias de cobro, judiciales y extrajudiciales, respecto de los pagos de capital e intereses pactados a favor del contratante en cada Contrato de Deuda. Las Partes acuerdan expresamente que las obligaciones de la Contratista son de medio y no de resultado, por lo que no garantiza el pago oportuno ni íntegro del deudor.</w:t>
      </w:r>
    </w:p>
    <w:p>
      <w:pPr>
        <w:pStyle w:val="normal1"/>
        <w:keepNext w:val="false"/>
        <w:keepLines w:val="false"/>
        <w:pageBreakBefore w:val="false"/>
        <w:widowControl w:val="false"/>
        <w:shd w:val="clear" w:fill="auto"/>
        <w:spacing w:lineRule="auto" w:line="276" w:before="241" w:after="0"/>
        <w:ind w:hanging="0" w:left="56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Como contraprestación, la Contratista percibirá honorarios equivalentes al {porcentajeLetrasCube} por ciento ({porcentajeNumeroCube}%) de los intereses efectivamente cobrados en nombre del contratante que percibirá honorarios equivalentes al {porcentajeLetrasInversionista} por ciento ({porcentajeNumeroInversionista}%) Dichos honorarios se calcularán y liquidarán de forma mensual durante la vigencia del presente Contrato y conforme a cada Contrato de Deuda.</w:t>
      </w:r>
    </w:p>
    <w:p>
      <w:pPr>
        <w:pStyle w:val="normal1"/>
        <w:keepNext w:val="false"/>
        <w:keepLines w:val="false"/>
        <w:pageBreakBefore w:val="false"/>
        <w:widowControl w:val="false"/>
        <w:shd w:val="clear" w:fill="auto"/>
        <w:spacing w:lineRule="auto" w:line="276" w:before="205"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contratante autoriza de forma expresa e irrevocable a la Contratista a deducir y retener sus honorarios directamente de los pagos de intereses que reciba por cuenta del contratante, reintegrando únicamente el saldo neto correspondiente, incluyendo el capital recibido, siempre y cuando no haya optado por cualquier modalidad de inversión en contario, conforme al acuerdo de inversión.</w:t>
      </w:r>
    </w:p>
    <w:p>
      <w:pPr>
        <w:pStyle w:val="normal1"/>
        <w:keepNext w:val="false"/>
        <w:keepLines w:val="false"/>
        <w:pageBreakBefore w:val="false"/>
        <w:widowControl w:val="false"/>
        <w:shd w:val="clear" w:fill="auto"/>
        <w:spacing w:lineRule="auto" w:line="276" w:before="202" w:after="0"/>
        <w:ind w:hanging="0" w:left="566" w:right="27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Para efectos de cálculo, la tasa de interés pactada en los Contratos de Deuda no podrá ser inferior al uno punto cinco por ciento (1.5%) mensual más IVA, salvo autorización expresa y por escrito de el contratante.</w:t>
      </w:r>
    </w:p>
    <w:p>
      <w:pPr>
        <w:pStyle w:val="normal1"/>
        <w:keepNext w:val="false"/>
        <w:keepLines w:val="false"/>
        <w:pageBreakBefore w:val="false"/>
        <w:widowControl w:val="false"/>
        <w:shd w:val="clear" w:fill="auto"/>
        <w:spacing w:lineRule="auto" w:line="240" w:before="4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Cada Parte será responsable de sus propias obligaciones tributarias derivadas de los distintos contratos celebrados en el marco del presente instrumento. El contratante reconoce que le corresponde emitir las facturas por los intereses que reciba del Deudor, conforme a la legislación aplicable.</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el contratante no emita la factura correspondiente en el plazo legal, la Contratista no asumirá responsabilidad alguna por dicho incumplimiento. En tal supuesto, Cube Investments, Sociedad Anónima tendrá derecho a emitir la factura por la cuota total recibida de parte del Deudor y a trasladar a el contratante únicamente el monto neto que corresponda, descontando los impuestos aplicables.</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que cualquier inversión incurra en atraso o impago por parte del Deudor, la Contratista tendrá la facultad de iniciar y continuar, a su sola discreción, las gestiones de cobro judicial correspondientes, sin requerir autorización previa de el contratante.</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costos, honorarios y gastos derivados de dichas gestiones podrán ser asumidos inicialmente por la Contratista como parte de su gestión de recuperación, y serán recuperados con cargo a los montos efectivamente percibidos del Deudor, o integrados dentro de la estructura de costos de la operación, sin que ello implique obligación de pago directo o desembolso por parte de el contratante.</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contratante reconoce que la gestión judicial forma parte del servicio integral de administración de cartera prestado por la Contratista.</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TERCERA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GESTION DE COBRANZA Y RECEPCIÓN DE PAGOS POR CUENTA DE TERCEROS</w:t>
      </w:r>
    </w:p>
    <w:p>
      <w:pPr>
        <w:pStyle w:val="normal1"/>
        <w:keepNext w:val="false"/>
        <w:keepLines w:val="false"/>
        <w:pageBreakBefore w:val="false"/>
        <w:widowControl w:val="false"/>
        <w:shd w:val="clear" w:fill="auto"/>
        <w:spacing w:lineRule="auto" w:line="240" w:before="81"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se obliga a prestar servicios de gestión de cobro y recepción de pagos por cuenta del contratante, consistentes en realizar todas las gestiones ordinarias necesarias para procurar el cobro de capital e intereses a favor del contratante frente al Deudor respectivos, sin que ello implique obligación de resultado, sino de medios.</w:t>
      </w:r>
    </w:p>
    <w:p>
      <w:pPr>
        <w:pStyle w:val="normal1"/>
        <w:keepNext w:val="false"/>
        <w:keepLines w:val="false"/>
        <w:pageBreakBefore w:val="false"/>
        <w:widowControl w:val="false"/>
        <w:shd w:val="clear" w:fill="auto"/>
        <w:spacing w:lineRule="auto" w:line="276" w:before="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numPr>
          <w:ilvl w:val="1"/>
          <w:numId w:val="6"/>
        </w:numPr>
        <w:shd w:val="clear" w:fill="auto"/>
        <w:tabs>
          <w:tab w:val="clear" w:pos="720"/>
          <w:tab w:val="left" w:pos="925" w:leader="none"/>
        </w:tabs>
        <w:spacing w:lineRule="auto" w:line="240" w:before="1" w:after="0"/>
        <w:ind w:hanging="359" w:left="925"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Gestión de inversiones y cobro</w:t>
      </w:r>
    </w:p>
    <w:p>
      <w:pPr>
        <w:pStyle w:val="normal1"/>
        <w:tabs>
          <w:tab w:val="clear" w:pos="720"/>
          <w:tab w:val="left" w:pos="925" w:leader="none"/>
        </w:tabs>
        <w:spacing w:lineRule="auto" w:line="240" w:before="1" w:after="0"/>
        <w:ind w:hanging="0" w:left="566"/>
        <w:rPr>
          <w:sz w:val="20"/>
          <w:szCs w:val="20"/>
        </w:rPr>
      </w:pPr>
      <w:r>
        <w:rPr>
          <w:sz w:val="20"/>
          <w:szCs w:val="20"/>
        </w:rPr>
        <w:t>Los servicios de gestión de inversiones y cobro que la Contratista efectuará en nombre y favor de el contratante incluirán:</w:t>
      </w:r>
    </w:p>
    <w:p>
      <w:pPr>
        <w:pStyle w:val="normal1"/>
        <w:keepNext w:val="false"/>
        <w:keepLines w:val="false"/>
        <w:pageBreakBefore w:val="false"/>
        <w:widowControl w:val="false"/>
        <w:numPr>
          <w:ilvl w:val="0"/>
          <w:numId w:val="5"/>
        </w:numPr>
        <w:shd w:val="clear" w:fill="auto"/>
        <w:tabs>
          <w:tab w:val="left" w:pos="718" w:leader="none"/>
          <w:tab w:val="left" w:pos="720" w:leader="none"/>
        </w:tabs>
        <w:spacing w:lineRule="auto" w:line="276" w:before="200" w:after="0"/>
        <w:ind w:hanging="360" w:left="720"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Presentar a el contratante cada nueva inversión que cumpla con los criterios establecidos en el Acuerdo para su confirmación escrita.</w:t>
      </w:r>
    </w:p>
    <w:p>
      <w:pPr>
        <w:pStyle w:val="normal1"/>
        <w:keepNext w:val="false"/>
        <w:keepLines w:val="false"/>
        <w:pageBreakBefore w:val="false"/>
        <w:widowControl w:val="false"/>
        <w:numPr>
          <w:ilvl w:val="0"/>
          <w:numId w:val="5"/>
        </w:numPr>
        <w:shd w:val="clear" w:fill="auto"/>
        <w:tabs>
          <w:tab w:val="left" w:pos="718" w:leader="none"/>
          <w:tab w:val="left" w:pos="720" w:leader="none"/>
        </w:tabs>
        <w:spacing w:lineRule="auto" w:line="276" w:before="202" w:after="0"/>
        <w:ind w:hanging="360" w:left="720"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Formalizar el Contrato de Deuda correspondiente una vez aceptada la inversión por el contratante.</w:t>
      </w:r>
    </w:p>
    <w:p>
      <w:pPr>
        <w:pStyle w:val="normal1"/>
        <w:keepNext w:val="false"/>
        <w:keepLines w:val="false"/>
        <w:pageBreakBefore w:val="false"/>
        <w:widowControl w:val="false"/>
        <w:numPr>
          <w:ilvl w:val="0"/>
          <w:numId w:val="5"/>
        </w:numPr>
        <w:shd w:val="clear" w:fill="auto"/>
        <w:tabs>
          <w:tab w:val="left" w:pos="718" w:leader="none"/>
          <w:tab w:val="left" w:pos="720" w:leader="none"/>
        </w:tabs>
        <w:spacing w:lineRule="auto" w:line="276" w:before="199" w:after="0"/>
        <w:ind w:hanging="360" w:left="720" w:right="28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Recibir los desembolsos de el contratante y trasladarlos conforme a las instrucciones acordadas.</w:t>
      </w:r>
    </w:p>
    <w:p>
      <w:pPr>
        <w:pStyle w:val="normal1"/>
        <w:keepNext w:val="false"/>
        <w:keepLines w:val="false"/>
        <w:pageBreakBefore w:val="false"/>
        <w:widowControl w:val="false"/>
        <w:numPr>
          <w:ilvl w:val="0"/>
          <w:numId w:val="5"/>
        </w:numPr>
        <w:shd w:val="clear" w:fill="auto"/>
        <w:tabs>
          <w:tab w:val="left" w:pos="718" w:leader="none"/>
          <w:tab w:val="left" w:pos="720" w:leader="none"/>
        </w:tabs>
        <w:spacing w:lineRule="auto" w:line="276" w:before="200" w:after="0"/>
        <w:ind w:hanging="360" w:left="720" w:right="27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Incorporar cada Contrato de Deuda como anexo al presente Contrato y llevar un registro actualizado de inversiones, saldos, moras y estatus de la cartera de el contratante.</w:t>
      </w:r>
    </w:p>
    <w:p>
      <w:pPr>
        <w:pStyle w:val="normal1"/>
        <w:keepNext w:val="false"/>
        <w:keepLines w:val="false"/>
        <w:pageBreakBefore w:val="false"/>
        <w:widowControl w:val="false"/>
        <w:numPr>
          <w:ilvl w:val="0"/>
          <w:numId w:val="5"/>
        </w:numPr>
        <w:shd w:val="clear" w:fill="auto"/>
        <w:tabs>
          <w:tab w:val="left" w:pos="720" w:leader="none"/>
        </w:tabs>
        <w:spacing w:lineRule="auto" w:line="240" w:before="199"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Emitir recordatorios mensuales a el Deudor sobre fechas, montos y formas de pago.</w:t>
      </w:r>
    </w:p>
    <w:p>
      <w:pPr>
        <w:pStyle w:val="normal1"/>
        <w:keepNext w:val="false"/>
        <w:keepLines w:val="false"/>
        <w:pageBreakBefore w:val="false"/>
        <w:widowControl w:val="false"/>
        <w:numPr>
          <w:ilvl w:val="0"/>
          <w:numId w:val="5"/>
        </w:numPr>
        <w:shd w:val="clear" w:fill="auto"/>
        <w:tabs>
          <w:tab w:val="left" w:pos="720" w:leader="none"/>
        </w:tabs>
        <w:spacing w:lineRule="auto" w:line="240" w:before="241"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Atender consultas del Deudor respecto de los pagos pendientes.</w:t>
      </w:r>
    </w:p>
    <w:p>
      <w:pPr>
        <w:pStyle w:val="normal1"/>
        <w:keepNext w:val="false"/>
        <w:keepLines w:val="false"/>
        <w:pageBreakBefore w:val="false"/>
        <w:widowControl w:val="false"/>
        <w:numPr>
          <w:ilvl w:val="0"/>
          <w:numId w:val="5"/>
        </w:numPr>
        <w:shd w:val="clear" w:fill="auto"/>
        <w:tabs>
          <w:tab w:val="left" w:pos="718" w:leader="none"/>
          <w:tab w:val="left" w:pos="720" w:leader="none"/>
        </w:tabs>
        <w:spacing w:lineRule="auto" w:line="276" w:before="240" w:after="0"/>
        <w:ind w:hanging="360" w:left="720"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Mantener registro exacto de su gestión de cobro, pudiendo la Contratista realizar acuerdos extrajudiciales de pago en caso de incumplimiento del Deudor, sin necesidad de autorización previa de el contratante, siempre que los considere razonables y beneficiosos para la recuperación de fondos.</w:t>
      </w:r>
    </w:p>
    <w:p>
      <w:pPr>
        <w:pStyle w:val="normal1"/>
        <w:keepNext w:val="false"/>
        <w:keepLines w:val="false"/>
        <w:pageBreakBefore w:val="false"/>
        <w:widowControl w:val="false"/>
        <w:numPr>
          <w:ilvl w:val="0"/>
          <w:numId w:val="5"/>
        </w:numPr>
        <w:shd w:val="clear" w:fill="auto"/>
        <w:tabs>
          <w:tab w:val="left" w:pos="718" w:leader="none"/>
          <w:tab w:val="left" w:pos="720" w:leader="none"/>
        </w:tabs>
        <w:spacing w:lineRule="auto" w:line="276" w:before="200" w:after="0"/>
        <w:ind w:hanging="360" w:left="720"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Coordinar con el Deudor la emisión y entrega de facturas por intereses, cuando corresponda.</w:t>
      </w:r>
    </w:p>
    <w:p>
      <w:pPr>
        <w:pStyle w:val="normal1"/>
        <w:keepNext w:val="false"/>
        <w:keepLines w:val="false"/>
        <w:pageBreakBefore w:val="false"/>
        <w:widowControl w:val="false"/>
        <w:numPr>
          <w:ilvl w:val="0"/>
          <w:numId w:val="5"/>
        </w:numPr>
        <w:shd w:val="clear" w:fill="auto"/>
        <w:tabs>
          <w:tab w:val="left" w:pos="718" w:leader="none"/>
          <w:tab w:val="left" w:pos="720" w:leader="none"/>
        </w:tabs>
        <w:spacing w:lineRule="auto" w:line="276" w:before="199" w:after="0"/>
        <w:ind w:hanging="360" w:left="720" w:right="28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modalidad de cartera activa, el Inversionista acepta expresamente la cesión de créditos en el estado en que se encuentren, incluyendo garantías ya constituidas.</w:t>
      </w:r>
    </w:p>
    <w:p>
      <w:pPr>
        <w:pStyle w:val="normal1"/>
        <w:keepNext w:val="false"/>
        <w:keepLines w:val="false"/>
        <w:pageBreakBefore w:val="false"/>
        <w:widowControl w:val="false"/>
        <w:numPr>
          <w:ilvl w:val="1"/>
          <w:numId w:val="6"/>
        </w:numPr>
        <w:shd w:val="clear" w:fill="auto"/>
        <w:tabs>
          <w:tab w:val="clear" w:pos="720"/>
          <w:tab w:val="left" w:pos="777" w:leader="none"/>
        </w:tabs>
        <w:spacing w:lineRule="auto" w:line="240" w:before="202" w:after="0"/>
        <w:ind w:hanging="211" w:left="777"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Recepción de pagos</w:t>
      </w:r>
    </w:p>
    <w:p>
      <w:pPr>
        <w:pStyle w:val="normal1"/>
        <w:keepNext w:val="false"/>
        <w:keepLines w:val="false"/>
        <w:pageBreakBefore w:val="false"/>
        <w:widowControl w:val="false"/>
        <w:shd w:val="clear" w:fill="auto"/>
        <w:spacing w:lineRule="auto" w:line="276" w:before="240"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prestará los siguientes servicios de recepción de pagos por cuenta del contratante:</w:t>
      </w:r>
    </w:p>
    <w:p>
      <w:pPr>
        <w:pStyle w:val="normal1"/>
        <w:keepNext w:val="false"/>
        <w:keepLines w:val="false"/>
        <w:pageBreakBefore w:val="false"/>
        <w:widowControl w:val="false"/>
        <w:numPr>
          <w:ilvl w:val="0"/>
          <w:numId w:val="4"/>
        </w:numPr>
        <w:shd w:val="clear" w:fill="auto"/>
        <w:tabs>
          <w:tab w:val="left" w:pos="720" w:leader="none"/>
        </w:tabs>
        <w:spacing w:lineRule="auto" w:line="240" w:before="200"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Recibir pagos de capital e intereses efectuados por el Deudor.</w:t>
      </w:r>
    </w:p>
    <w:p>
      <w:pPr>
        <w:pStyle w:val="normal1"/>
        <w:keepNext w:val="false"/>
        <w:keepLines w:val="false"/>
        <w:pageBreakBefore w:val="false"/>
        <w:widowControl w:val="false"/>
        <w:numPr>
          <w:ilvl w:val="0"/>
          <w:numId w:val="4"/>
        </w:numPr>
        <w:shd w:val="clear" w:fill="auto"/>
        <w:tabs>
          <w:tab w:val="left" w:pos="720" w:leader="none"/>
        </w:tabs>
        <w:spacing w:lineRule="auto" w:line="240" w:before="241"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Emitir recibos de caja con detalle del monto y su aplicación a capital e intereses.</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238" w:after="0"/>
        <w:ind w:hanging="360" w:left="720"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Mantener registros contables separados e independientes para los pagos de el contratante.</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202" w:after="0"/>
        <w:ind w:hanging="360" w:left="720"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Mantener en custodia los fondos recibidos durante el período mensual y liquidarlos oportunamente, deduciendo sus honorarios conforme la cláusula segunda.</w:t>
      </w:r>
    </w:p>
    <w:p>
      <w:pPr>
        <w:pStyle w:val="normal1"/>
        <w:keepNext w:val="false"/>
        <w:keepLines w:val="false"/>
        <w:pageBreakBefore w:val="false"/>
        <w:widowControl w:val="false"/>
        <w:numPr>
          <w:ilvl w:val="0"/>
          <w:numId w:val="4"/>
        </w:numPr>
        <w:shd w:val="clear" w:fill="auto"/>
        <w:tabs>
          <w:tab w:val="left" w:pos="720" w:leader="none"/>
        </w:tabs>
        <w:spacing w:lineRule="auto" w:line="240" w:before="199"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Llevar registro exacto y verificable de los pagos recibidos.</w:t>
      </w:r>
    </w:p>
    <w:p>
      <w:pPr>
        <w:pStyle w:val="normal1"/>
        <w:keepNext w:val="false"/>
        <w:keepLines w:val="false"/>
        <w:pageBreakBefore w:val="false"/>
        <w:widowControl w:val="false"/>
        <w:numPr>
          <w:ilvl w:val="1"/>
          <w:numId w:val="6"/>
        </w:numPr>
        <w:shd w:val="clear" w:fill="auto"/>
        <w:tabs>
          <w:tab w:val="clear" w:pos="720"/>
          <w:tab w:val="left" w:pos="787" w:leader="none"/>
        </w:tabs>
        <w:spacing w:lineRule="auto" w:line="240" w:before="100" w:after="0"/>
        <w:ind w:hanging="221" w:left="787"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Liquidaciones mensuales</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241" w:after="0"/>
        <w:ind w:hanging="360" w:left="720" w:right="28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realizará liquidaciones mensuales de los pagos recibidos, que remitirá a el contratante a más tardar el día diez del mes siguiente (o día hábil inmediato).</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199" w:after="0"/>
        <w:ind w:hanging="360" w:left="720"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Dichas liquidaciones detallarán por separado capital, intereses y honorarios de la Contratista.</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200" w:after="0"/>
        <w:ind w:hanging="360" w:left="720"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contratante tendrá cinco (5) días hábiles para presentar consultas u objeciones sobre los honorarios. Transcurrido dicho plazo sin objeción, la liquidación se tendrá por aceptada.</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201" w:after="0"/>
        <w:ind w:hanging="360" w:left="720"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Una vez aceptada o validada la liquidación, la Contratista procederá a hacerse pago de sus honorarios y a trasladar a el contratante el saldo neto, mediante depósito, transferencia o cheque a la cuenta registrada.</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200" w:after="0"/>
        <w:ind w:hanging="360" w:left="720" w:right="277"/>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pago al Inversionista podrá realizarse mediante cesión de créditos activos equivalentes, conforme lo estipulado en el Acuerdo, entendiéndose que el Inversionista acepta los créditos en el estado en que se encuentren.</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201" w:after="0"/>
        <w:ind w:hanging="360" w:left="720" w:right="277"/>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Alternativamente, el Inversionista podrá instruir la reinversión de sus utilidades conforme a la carta de instrucciones anexa al Acuerdo.</w:t>
      </w:r>
    </w:p>
    <w:p>
      <w:pPr>
        <w:pStyle w:val="normal1"/>
        <w:keepNext w:val="false"/>
        <w:keepLines w:val="false"/>
        <w:pageBreakBefore w:val="false"/>
        <w:widowControl w:val="false"/>
        <w:numPr>
          <w:ilvl w:val="1"/>
          <w:numId w:val="6"/>
        </w:numPr>
        <w:shd w:val="clear" w:fill="auto"/>
        <w:tabs>
          <w:tab w:val="clear" w:pos="720"/>
          <w:tab w:val="left" w:pos="803" w:leader="none"/>
        </w:tabs>
        <w:spacing w:lineRule="auto" w:line="240" w:before="200" w:after="0"/>
        <w:ind w:hanging="237" w:left="803"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Registros contables</w:t>
      </w:r>
    </w:p>
    <w:p>
      <w:pPr>
        <w:pStyle w:val="normal1"/>
        <w:keepNext w:val="false"/>
        <w:keepLines w:val="false"/>
        <w:pageBreakBefore w:val="false"/>
        <w:widowControl w:val="false"/>
        <w:shd w:val="clear" w:fill="auto"/>
        <w:spacing w:lineRule="auto" w:line="276" w:before="240"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llevará un registro completo y preciso de todas las operaciones derivadas del presente Contrato y del Acuerdo. Los registros de la Contratista prevalecerán frente a los de el contratante, siempre que estén respaldados por documentos derivados de transacciones efectivamente realizadas.</w:t>
      </w:r>
    </w:p>
    <w:p>
      <w:pPr>
        <w:pStyle w:val="normal1"/>
        <w:keepNext w:val="false"/>
        <w:keepLines w:val="false"/>
        <w:pageBreakBefore w:val="false"/>
        <w:widowControl w:val="false"/>
        <w:shd w:val="clear" w:fill="auto"/>
        <w:spacing w:lineRule="auto" w:line="240" w:before="2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CUARTA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OBLIGACIONES DE LAS PARTES.</w:t>
      </w:r>
    </w:p>
    <w:p>
      <w:pPr>
        <w:pStyle w:val="normal1"/>
        <w:keepNext w:val="false"/>
        <w:keepLines w:val="false"/>
        <w:pageBreakBefore w:val="false"/>
        <w:widowControl w:val="false"/>
        <w:numPr>
          <w:ilvl w:val="0"/>
          <w:numId w:val="2"/>
        </w:numPr>
        <w:shd w:val="clear" w:fill="auto"/>
        <w:tabs>
          <w:tab w:val="clear" w:pos="720"/>
          <w:tab w:val="left" w:pos="924" w:leader="none"/>
        </w:tabs>
        <w:spacing w:lineRule="auto" w:line="240" w:before="240" w:after="0"/>
        <w:ind w:hanging="358" w:left="924"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Obligaciones fiscales:</w:t>
      </w:r>
    </w:p>
    <w:p>
      <w:pPr>
        <w:pStyle w:val="normal1"/>
        <w:keepNext w:val="false"/>
        <w:keepLines w:val="false"/>
        <w:pageBreakBefore w:val="false"/>
        <w:widowControl w:val="false"/>
        <w:numPr>
          <w:ilvl w:val="1"/>
          <w:numId w:val="2"/>
        </w:numPr>
        <w:shd w:val="clear" w:fill="auto"/>
        <w:tabs>
          <w:tab w:val="clear" w:pos="720"/>
          <w:tab w:val="left" w:pos="1333" w:leader="none"/>
        </w:tabs>
        <w:spacing w:lineRule="auto" w:line="276" w:before="39" w:after="0"/>
        <w:ind w:hanging="0" w:left="92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facturará mensualmente sus servicios derivados del presente Contrato, de conformidad con la legislación aplicable.</w:t>
      </w:r>
    </w:p>
    <w:p>
      <w:pPr>
        <w:pStyle w:val="normal1"/>
        <w:keepNext w:val="false"/>
        <w:keepLines w:val="false"/>
        <w:pageBreakBefore w:val="false"/>
        <w:widowControl w:val="false"/>
        <w:numPr>
          <w:ilvl w:val="1"/>
          <w:numId w:val="2"/>
        </w:numPr>
        <w:shd w:val="clear" w:fill="auto"/>
        <w:tabs>
          <w:tab w:val="clear" w:pos="720"/>
          <w:tab w:val="left" w:pos="1309" w:leader="none"/>
        </w:tabs>
        <w:spacing w:lineRule="auto" w:line="276" w:before="1" w:after="0"/>
        <w:ind w:hanging="0" w:left="92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contratante será responsable de emitir las facturas correspondientes a los intereses devengados y percibidos por el Deudor en virtud de los Contratos de Deuda, entregándolas a la Contratista a requerimiento, para que esta a su vez las remita al Deudor contra el pago de dichos intereses. La Contratista no asume responsabilidad alguna en caso de que el contratante incumpla sus obligaciones fiscales. En tal supuesto, y para efectos de cumplimiento legal, la Contratista podrá emitir la factura por la cuota total recibida y trasladar a el contratante únicamente el monto neto correspondiente, deducidos los impuestos aplicables.</w:t>
      </w:r>
    </w:p>
    <w:p>
      <w:pPr>
        <w:pStyle w:val="normal1"/>
        <w:keepNext w:val="false"/>
        <w:keepLines w:val="false"/>
        <w:pageBreakBefore w:val="false"/>
        <w:widowControl w:val="false"/>
        <w:numPr>
          <w:ilvl w:val="0"/>
          <w:numId w:val="2"/>
        </w:numPr>
        <w:shd w:val="clear" w:fill="auto"/>
        <w:tabs>
          <w:tab w:val="clear" w:pos="720"/>
          <w:tab w:val="left" w:pos="771" w:leader="none"/>
        </w:tabs>
        <w:spacing w:lineRule="auto" w:line="240" w:before="100" w:after="0"/>
        <w:ind w:hanging="205" w:left="771"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Obligaciones respecto a garantías:</w:t>
      </w:r>
    </w:p>
    <w:p>
      <w:pPr>
        <w:pStyle w:val="normal1"/>
        <w:keepNext w:val="false"/>
        <w:keepLines w:val="false"/>
        <w:pageBreakBefore w:val="false"/>
        <w:widowControl w:val="false"/>
        <w:shd w:val="clear" w:fill="auto"/>
        <w:spacing w:lineRule="auto" w:line="276" w:before="241" w:after="0"/>
        <w:ind w:hanging="0" w:left="852"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a través de la entidad Garante, se obliga a prestar servicios de depositario y gestión administrativa sobre los bienes muebles que se otorguen en garantía para el cumplimiento de las obligaciones derivadas de los Contratos de Deuda celebrados en favor del contratante.</w:t>
      </w:r>
    </w:p>
    <w:p>
      <w:pPr>
        <w:pStyle w:val="normal1"/>
        <w:keepNext w:val="false"/>
        <w:keepLines w:val="false"/>
        <w:pageBreakBefore w:val="false"/>
        <w:widowControl w:val="false"/>
        <w:numPr>
          <w:ilvl w:val="0"/>
          <w:numId w:val="2"/>
        </w:numPr>
        <w:shd w:val="clear" w:fill="auto"/>
        <w:tabs>
          <w:tab w:val="clear" w:pos="720"/>
          <w:tab w:val="left" w:pos="1438" w:leader="none"/>
        </w:tabs>
        <w:spacing w:lineRule="auto" w:line="240" w:before="199" w:after="0"/>
        <w:ind w:hanging="358" w:left="1438"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Alcance de la preservación:</w:t>
      </w:r>
    </w:p>
    <w:p>
      <w:pPr>
        <w:pStyle w:val="normal1"/>
        <w:keepNext w:val="false"/>
        <w:keepLines w:val="false"/>
        <w:pageBreakBefore w:val="false"/>
        <w:widowControl w:val="false"/>
        <w:shd w:val="clear" w:fill="auto"/>
        <w:spacing w:lineRule="auto" w:line="276" w:before="42" w:after="0"/>
        <w:ind w:hanging="0" w:left="1440"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mediante la Garante, velará por la adecuada administración y preservación de los bienes muebles dados en garantía, así como por el seguimiento de los pagos derivados de la administración de las inversiones. No obstante, la Contratista no será responsable por pérdidas, deterioros o daños que resulten del uso normal, negligencia o actos del Deudor, de terceros, o de situaciones de caso fortuito o fuerza mayor.</w:t>
      </w:r>
    </w:p>
    <w:p>
      <w:pPr>
        <w:pStyle w:val="normal1"/>
        <w:keepNext w:val="false"/>
        <w:keepLines w:val="false"/>
        <w:pageBreakBefore w:val="false"/>
        <w:widowControl w:val="false"/>
        <w:shd w:val="clear" w:fill="auto"/>
        <w:spacing w:lineRule="auto" w:line="276" w:before="20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QUINTA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PLAZO. El presente Contrato de Prestación de Servicios tendrá una vigencia indefinida, vinculada a la duración de las inversiones realizadas por el contratante conforme al Acuerdo Privado de Inversión. En consecuencia, este Contrato se mantendrá vigente mientras exista al menos una inversión activa de el contratante, y culminará en la fecha efectiva de terminación de la última inversión colocada en su favor.</w:t>
      </w:r>
    </w:p>
    <w:p>
      <w:pPr>
        <w:pStyle w:val="normal1"/>
        <w:keepNext w:val="false"/>
        <w:keepLines w:val="false"/>
        <w:pageBreakBefore w:val="false"/>
        <w:widowControl w:val="false"/>
        <w:shd w:val="clear" w:fill="auto"/>
        <w:spacing w:lineRule="auto" w:line="276" w:before="198"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Para todos los efectos relacionados con la terminación anticipada o supuestos especiales, las Partes acuerdan que serán aplicables, en lo conducente, las estipulaciones sobre terminación contenidas en el Acuerdo Privado de Inversión, prevaleciendo dichas disposiciones en caso de contradicción o duda interpretativa.</w:t>
      </w:r>
    </w:p>
    <w:p>
      <w:pPr>
        <w:pStyle w:val="normal1"/>
        <w:keepNext w:val="false"/>
        <w:keepLines w:val="false"/>
        <w:pageBreakBefore w:val="false"/>
        <w:widowControl w:val="false"/>
        <w:shd w:val="clear" w:fill="auto"/>
        <w:spacing w:lineRule="auto" w:line="276" w:before="203"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 obstante, la Contratista conservará el mandato y la facultad de continuar con la administración, gestión de cobro y ejecución de garantías respecto de las obligaciones que permanezcan pendientes de pago o en proceso de recuperación al momento de la terminación, hasta su conclusión definitiva, sin que ello implique una renovación del presente Contrato</w:t>
      </w:r>
    </w:p>
    <w:p>
      <w:pPr>
        <w:pStyle w:val="normal1"/>
        <w:keepNext w:val="false"/>
        <w:keepLines w:val="false"/>
        <w:pageBreakBefore w:val="false"/>
        <w:widowControl w:val="false"/>
        <w:shd w:val="clear" w:fill="auto"/>
        <w:spacing w:lineRule="auto" w:line="276" w:before="198"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Al momento de la terminación, la Contratista elaborará y remitirá a el contratante una liquidación final, detallando los saldos de capital, intereses, pagos recibidos, honorarios cobrados y obligaciones en trámite. Dicha liquidación se entenderá como cierre administrativo de la relación contractual, quedando únicamente pendientes de ejecución las acciones de cobro o recuperación que aún se encuentren en curso.</w:t>
      </w:r>
    </w:p>
    <w:p>
      <w:pPr>
        <w:pStyle w:val="normal1"/>
        <w:keepNext w:val="false"/>
        <w:keepLines w:val="false"/>
        <w:pageBreakBefore w:val="false"/>
        <w:widowControl w:val="false"/>
        <w:shd w:val="clear" w:fill="auto"/>
        <w:spacing w:lineRule="auto" w:line="240" w:before="201"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SEXTA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EXCLUSIVIDAD Y NO ELUSIÓN.</w:t>
      </w:r>
    </w:p>
    <w:p>
      <w:pPr>
        <w:pStyle w:val="normal1"/>
        <w:keepNext w:val="false"/>
        <w:keepLines w:val="false"/>
        <w:pageBreakBefore w:val="false"/>
        <w:widowControl w:val="false"/>
        <w:shd w:val="clear" w:fill="auto"/>
        <w:spacing w:lineRule="auto" w:line="276" w:before="241"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Las Partes convienen que el presente Contrato otorga a la Contratista el carácter de administrador exclusivo de las inversiones de el contratante derivadas del Acuerdo Privado de Inversión. En consecuencia, el contratante no podrá, durante la vigencia del presente Contrato, contratar con terceros los servicios objeto del mismo ni realizar por sí misma, directa o indirectamente, las actividades de gestión de cobro, recepción de pagos o administración de garantías correspondientes a sus inversiones.</w:t>
      </w:r>
    </w:p>
    <w:p>
      <w:pPr>
        <w:pStyle w:val="normal1"/>
        <w:keepNext w:val="false"/>
        <w:keepLines w:val="false"/>
        <w:pageBreakBefore w:val="false"/>
        <w:widowControl w:val="false"/>
        <w:shd w:val="clear" w:fill="auto"/>
        <w:spacing w:lineRule="auto" w:line="276" w:before="201"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Por su parte, la Contratista mantiene plena libertad para prestar sus servicios a otros inversionistas, deudores o terceros sin limitación alguna.</w:t>
      </w:r>
    </w:p>
    <w:p>
      <w:pPr>
        <w:pStyle w:val="normal1"/>
        <w:keepNext w:val="false"/>
        <w:keepLines w:val="false"/>
        <w:pageBreakBefore w:val="false"/>
        <w:widowControl w:val="false"/>
        <w:shd w:val="clear" w:fill="auto"/>
        <w:spacing w:lineRule="auto" w:line="276" w:before="199"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contratante se obliga, durante todo el plazo de este Contrato, a no eludir ni obviar el pago de los honorarios de la Contratista establecidos en la cláusula segunda. Cualquier pago que el Deudor realicen directamente a el contratante se considerará, para efectos de cálculo de honorarios, como si hubiera sido recibido por la Contratista, y dará derecho a esta última a retener y cobrar los honorarios pactados, aun cuando no hubiera intervenido directamente en la gestión de cobro.</w:t>
      </w:r>
    </w:p>
    <w:p>
      <w:pPr>
        <w:pStyle w:val="normal1"/>
        <w:keepNext w:val="false"/>
        <w:keepLines w:val="false"/>
        <w:pageBreakBefore w:val="false"/>
        <w:widowControl w:val="false"/>
        <w:shd w:val="clear" w:fill="auto"/>
        <w:spacing w:lineRule="auto" w:line="276" w:before="201"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incumplimiento de la presente cláusula, el contratante se obliga a pagar a la Contratista, en concepto de penalidad, una suma equivalente a los intereses proyectados pendientes que la inversión debía reconocer a favor de la Contratista durante el plazo restante de la misma, sin perjuicio de los honorarios ya devengados y de las demás acciones legales que pudieran corresponder.</w:t>
      </w:r>
    </w:p>
    <w:p>
      <w:pPr>
        <w:pStyle w:val="normal1"/>
        <w:keepNext w:val="false"/>
        <w:keepLines w:val="false"/>
        <w:pageBreakBefore w:val="false"/>
        <w:widowControl w:val="false"/>
        <w:shd w:val="clear" w:fill="auto"/>
        <w:spacing w:lineRule="auto" w:line="276" w:before="201"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SÉPTIMA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CESIÓN DE DERECHOS. Las partes podrán ceder, enajenar o gravar, en todo o en parte, los derechos y obligaciones derivados del presente Contrato, para lo cual se requerirá la aceptación por escrito de la otra parte. En caso de cesión de los derechos contractuales, el cesionario no podrá variar o modificar el presente Contrato, salvo que lo acuerde por escrito con el contratante.</w:t>
      </w:r>
    </w:p>
    <w:p>
      <w:pPr>
        <w:pStyle w:val="normal1"/>
        <w:keepNext w:val="false"/>
        <w:keepLines w:val="false"/>
        <w:pageBreakBefore w:val="false"/>
        <w:widowControl w:val="false"/>
        <w:shd w:val="clear" w:fill="auto"/>
        <w:spacing w:lineRule="auto" w:line="276" w:before="201"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 obstante, el contratante podrá ceder sus inversiones particulares según desee, para el efecto se estará a lo dispuesto en el Acuerdo de Inversión. Cualquier cesión que se realice por las inversiones de la contratista, se hará bajo el entendido de que el contrato aquí contenido, también será cedido.</w:t>
      </w:r>
    </w:p>
    <w:p>
      <w:pPr>
        <w:pStyle w:val="normal1"/>
        <w:keepNext w:val="false"/>
        <w:keepLines w:val="false"/>
        <w:pageBreakBefore w:val="false"/>
        <w:widowControl w:val="false"/>
        <w:shd w:val="clear" w:fill="auto"/>
        <w:spacing w:lineRule="auto" w:line="276" w:before="199"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OCTAVA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TERMINACIÓN. El presente Contrato de Prestación de Servicios se regirá, en lo relativo a su terminación, por las disposiciones establecidas en el Acuerdo Privado de Inversión, del cual forma parte complementaria. En consecuencia, la terminación del Acuerdo implicará automáticamente la terminación del presente Contrato, y viceversa, sin necesidad de notificación adicional.</w:t>
      </w:r>
    </w:p>
    <w:p>
      <w:pPr>
        <w:pStyle w:val="normal1"/>
        <w:keepNext w:val="false"/>
        <w:keepLines w:val="false"/>
        <w:pageBreakBefore w:val="false"/>
        <w:widowControl w:val="false"/>
        <w:shd w:val="clear" w:fill="auto"/>
        <w:spacing w:lineRule="auto" w:line="276" w:before="199"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Si la terminación se produce porque el contratante decide administrar directamente su cartera de inversiones o encomendarla a un tercero distinto de la Contratista, dicha terminación se considerará como terminación unilateral sin causa por parte de el contratante, y dará lugar a la aplicación de la penalidad prevista en el Acuerdo de Inversión, equivalente a los intereses proyectados pendientes que la inversión debía reconocer en favor de la Contratista. La Contratista tendrá derecho a exigir el pago de dicha penalidad, además de los honorarios adeudados a la fecha de terminación.</w:t>
      </w:r>
    </w:p>
    <w:p>
      <w:pPr>
        <w:pStyle w:val="normal1"/>
        <w:keepNext w:val="false"/>
        <w:keepLines w:val="false"/>
        <w:pageBreakBefore w:val="false"/>
        <w:widowControl w:val="false"/>
        <w:shd w:val="clear" w:fill="auto"/>
        <w:spacing w:lineRule="auto" w:line="276" w:before="20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 obstante, lo anterior, en caso de terminación, la Contratista elaborará la liquidación final de los servicios prestados hasta la fecha de conclusión efectiva y conservará la facultad de continuar con la gestión de cobros o ejecución de garantías que se encuentren en trámite, hasta su total conclusión, sin que ello implique prórroga o renovación del Contrato.</w:t>
      </w:r>
    </w:p>
    <w:p>
      <w:pPr>
        <w:pStyle w:val="normal1"/>
        <w:keepNext w:val="false"/>
        <w:keepLines w:val="false"/>
        <w:pageBreakBefore w:val="false"/>
        <w:widowControl w:val="false"/>
        <w:shd w:val="clear" w:fill="auto"/>
        <w:spacing w:lineRule="auto" w:line="276" w:before="201" w:after="0"/>
        <w:ind w:hanging="0" w:left="566" w:right="27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Las estipulaciones que, por su naturaleza, deban subsistir después de la terminación, permanecerán vigentes, incluyendo, pero no limitándose a: obligaciones fiscales, exclusividad y no elusión, confidencialidad, responsabilidades pendientes, penalidades y solución de controversias.</w:t>
      </w:r>
    </w:p>
    <w:p>
      <w:pPr>
        <w:pStyle w:val="normal1"/>
        <w:keepNext w:val="false"/>
        <w:keepLines w:val="false"/>
        <w:pageBreakBefore w:val="false"/>
        <w:widowControl w:val="false"/>
        <w:shd w:val="clear" w:fill="auto"/>
        <w:spacing w:lineRule="auto" w:line="276" w:before="200"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NOVENA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GARANTÍA: En las inversiones realizadas bajo el presente Contrato que correspondan a la modalidad de financiamiento para la adquisición de vehículos, las Partes acuerdan que, con la firma de cada Contrato de Deuda, Cube Investments, Sociedad Anónima instruirá irrevocablemente a la entidad RDBE, Sociedad Anónima (la “Garante”) para que constituya a favor del contratante la garantía mobiliaria sobre los vehículos adquiridos con los fondos aportados por el contratante, conforme a la legislación aplicable, salvo que acuerde que dicha garantía se constituya a favor de Cube Investments, Sociedad Anónima a solicitud expresa del inversionista.</w:t>
      </w:r>
    </w:p>
    <w:p>
      <w:pPr>
        <w:pStyle w:val="normal1"/>
        <w:keepNext w:val="false"/>
        <w:keepLines w:val="false"/>
        <w:pageBreakBefore w:val="false"/>
        <w:widowControl w:val="false"/>
        <w:shd w:val="clear" w:fill="auto"/>
        <w:spacing w:lineRule="auto" w:line="276" w:before="200"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constitución e inscripción de dichas garantías mobiliarias se formalizará en los respectivos contratos de garantía mobiliaria, los cuales contendrán las estipulaciones específicas que regirán la garantía constituida.</w:t>
      </w:r>
    </w:p>
    <w:p>
      <w:pPr>
        <w:pStyle w:val="normal1"/>
        <w:keepNext w:val="false"/>
        <w:keepLines w:val="false"/>
        <w:pageBreakBefore w:val="false"/>
        <w:widowControl w:val="false"/>
        <w:shd w:val="clear" w:fill="auto"/>
        <w:spacing w:lineRule="auto" w:line="276" w:before="201"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el caso de inversiones realizadas mediante la modalidad de cesión de créditos en cartera activa, el contratante acepta expresamente recibir los créditos en el estado en que se encuentren, incluyendo las garantías ya constituidas, pudiendo, en su caso, constituirse a su favor en segundo rango.</w:t>
      </w:r>
    </w:p>
    <w:p>
      <w:pPr>
        <w:pStyle w:val="normal1"/>
        <w:keepNext w:val="false"/>
        <w:keepLines w:val="false"/>
        <w:pageBreakBefore w:val="false"/>
        <w:widowControl w:val="false"/>
        <w:shd w:val="clear" w:fill="auto"/>
        <w:spacing w:lineRule="auto" w:line="276" w:before="199"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Cube Investments, S.A. no asume la calidad de garante ni se obliga a constituir directamente garantías mobiliarias, limitándose a instruir a la Garante para que lo haga conforme a lo establecido en el presente Contrato.</w:t>
      </w:r>
    </w:p>
    <w:p>
      <w:pPr>
        <w:pStyle w:val="normal1"/>
        <w:keepNext w:val="false"/>
        <w:keepLines w:val="false"/>
        <w:pageBreakBefore w:val="false"/>
        <w:widowControl w:val="false"/>
        <w:shd w:val="clear" w:fill="auto"/>
        <w:spacing w:lineRule="auto" w:line="240" w:before="201"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LIMITACIÓN DE RESPONSABILIDADES E INDEMNIDAD. Salvo lo expresamente</w:t>
      </w:r>
    </w:p>
    <w:p>
      <w:pPr>
        <w:pStyle w:val="normal1"/>
        <w:keepNext w:val="false"/>
        <w:keepLines w:val="false"/>
        <w:pageBreakBefore w:val="false"/>
        <w:widowControl w:val="false"/>
        <w:shd w:val="clear" w:fill="auto"/>
        <w:spacing w:lineRule="auto" w:line="276" w:before="39"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establecido en el Acuerdo Privado de Inversión, la Contratista no tendrá responsabilidad alguna por daños indirectos o consecuenciales, incluyendo, sin limitación, lucro cesante, incobrabilidad de intereses, pérdida de garantías, sentencias condenatorias o cualquier otro costo o gasto en que incurra el contratante en relación con el presente Contrato.</w:t>
      </w:r>
    </w:p>
    <w:p>
      <w:pPr>
        <w:pStyle w:val="normal1"/>
        <w:keepNext w:val="false"/>
        <w:keepLines w:val="false"/>
        <w:pageBreakBefore w:val="false"/>
        <w:widowControl w:val="false"/>
        <w:shd w:val="clear" w:fill="auto"/>
        <w:spacing w:lineRule="auto" w:line="276" w:before="10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Inversionista reconoce y acepta que toda inversión conlleva riesgos inherentes, tales como incumplimiento o mora del Deudor, fluctuaciones de mercado, pérdida parcial o total del capital, o inejecución de garantías, por lo que mantendrá indemnes y libres de toda responsabilidad a Cube Investments, S.A., RDBE, S.A., sus representantes, personeros, filiales, subsidiarias y empresas relacionadas, frente a cualquier acción, reclamo, procedimiento, daño, costo o gasto (incluyendo honorarios legales y costas judiciales) que se derive directa o indirectamente de dichos riesgos.</w:t>
      </w:r>
    </w:p>
    <w:p>
      <w:pPr>
        <w:pStyle w:val="normal1"/>
        <w:keepNext w:val="false"/>
        <w:keepLines w:val="false"/>
        <w:pageBreakBefore w:val="false"/>
        <w:widowControl w:val="false"/>
        <w:shd w:val="clear" w:fill="auto"/>
        <w:spacing w:lineRule="auto" w:line="276" w:before="201"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ningún caso Cube Investments, S.A. ni RDBE, S.A. asumirán responsabilidad por pérdidas derivadas de la mora, incumplimiento o insolvencia del Deudor, ni por eventos de caso fortuito o fuerza mayor, entendidos estos como aquellos sucesos imprevisibles o inevitables fuera del control razonable de la Contratista, tales como crisis financieras, cambios regulatorios, reformas legales, catástrofes naturales, conflictos sociales, pandemias u otros de naturaleza semejante.</w:t>
      </w:r>
    </w:p>
    <w:p>
      <w:pPr>
        <w:pStyle w:val="normal1"/>
        <w:keepNext w:val="false"/>
        <w:keepLines w:val="false"/>
        <w:pageBreakBefore w:val="false"/>
        <w:widowControl w:val="false"/>
        <w:shd w:val="clear" w:fill="auto"/>
        <w:spacing w:lineRule="auto" w:line="276" w:before="201"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responsabilidad de Cube Investments, S.A. quedará limitada exclusivamente a casos de dolo o negligencia grave debidamente comprobada en la administración de las inversiones.</w:t>
      </w:r>
    </w:p>
    <w:p>
      <w:pPr>
        <w:pStyle w:val="normal1"/>
        <w:keepNext w:val="false"/>
        <w:keepLines w:val="false"/>
        <w:pageBreakBefore w:val="false"/>
        <w:widowControl w:val="false"/>
        <w:shd w:val="clear" w:fill="auto"/>
        <w:spacing w:lineRule="auto" w:line="240" w:before="2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PRIMERA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CONFIDENCIALIDAD Y USO RESTRINGIDO DE INFORMACIÓN: Las</w:t>
      </w:r>
    </w:p>
    <w:p>
      <w:pPr>
        <w:pStyle w:val="normal1"/>
        <w:keepNext w:val="false"/>
        <w:keepLines w:val="false"/>
        <w:pageBreakBefore w:val="false"/>
        <w:widowControl w:val="false"/>
        <w:shd w:val="clear" w:fill="auto"/>
        <w:spacing w:lineRule="auto" w:line="276" w:before="39"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Partes acuerdan que toda información a la que tengan acceso en virtud del presente Contrato, del Acuerdo Privado de Inversión, de los Contratos de Deuda o de cualquier otro documento relacionado con las inversiones, será considerada estrictamente confidencial.</w:t>
      </w:r>
    </w:p>
    <w:p>
      <w:pPr>
        <w:pStyle w:val="normal1"/>
        <w:keepNext w:val="false"/>
        <w:keepLines w:val="false"/>
        <w:pageBreakBefore w:val="false"/>
        <w:widowControl w:val="false"/>
        <w:shd w:val="clear" w:fill="auto"/>
        <w:spacing w:lineRule="auto" w:line="240" w:before="2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particular, se considerará información confidencial, sin limitación:</w:t>
      </w:r>
    </w:p>
    <w:p>
      <w:pPr>
        <w:pStyle w:val="normal1"/>
        <w:keepNext w:val="false"/>
        <w:keepLines w:val="false"/>
        <w:pageBreakBefore w:val="false"/>
        <w:widowControl w:val="false"/>
        <w:numPr>
          <w:ilvl w:val="0"/>
          <w:numId w:val="1"/>
        </w:numPr>
        <w:shd w:val="clear" w:fill="auto"/>
        <w:tabs>
          <w:tab w:val="left" w:pos="720" w:leader="none"/>
        </w:tabs>
        <w:spacing w:lineRule="auto" w:line="240" w:before="240"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datos financieros, comerciales y personales de los inversionistas y del Deudor.</w:t>
      </w:r>
    </w:p>
    <w:p>
      <w:pPr>
        <w:pStyle w:val="normal1"/>
        <w:keepNext w:val="false"/>
        <w:keepLines w:val="false"/>
        <w:pageBreakBefore w:val="false"/>
        <w:widowControl w:val="false"/>
        <w:numPr>
          <w:ilvl w:val="0"/>
          <w:numId w:val="1"/>
        </w:numPr>
        <w:shd w:val="clear" w:fill="auto"/>
        <w:tabs>
          <w:tab w:val="left" w:pos="720" w:leader="none"/>
        </w:tabs>
        <w:spacing w:lineRule="auto" w:line="240" w:before="241"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términos y condiciones de las inversiones y contratos de deuda.</w:t>
      </w:r>
    </w:p>
    <w:p>
      <w:pPr>
        <w:pStyle w:val="normal1"/>
        <w:keepNext w:val="false"/>
        <w:keepLines w:val="false"/>
        <w:pageBreakBefore w:val="false"/>
        <w:widowControl w:val="false"/>
        <w:numPr>
          <w:ilvl w:val="0"/>
          <w:numId w:val="1"/>
        </w:numPr>
        <w:shd w:val="clear" w:fill="auto"/>
        <w:tabs>
          <w:tab w:val="left" w:pos="720" w:leader="none"/>
        </w:tabs>
        <w:spacing w:lineRule="auto" w:line="240" w:before="240"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estados de cuenta, registros, reportes de pagos y gestiones de cobro.</w:t>
      </w:r>
    </w:p>
    <w:p>
      <w:pPr>
        <w:pStyle w:val="normal1"/>
        <w:keepNext w:val="false"/>
        <w:keepLines w:val="false"/>
        <w:pageBreakBefore w:val="false"/>
        <w:widowControl w:val="false"/>
        <w:numPr>
          <w:ilvl w:val="0"/>
          <w:numId w:val="1"/>
        </w:numPr>
        <w:shd w:val="clear" w:fill="auto"/>
        <w:tabs>
          <w:tab w:val="left" w:pos="720" w:leader="none"/>
        </w:tabs>
        <w:spacing w:lineRule="auto" w:line="240" w:before="238"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Las metodologías, procesos, know-how y estrategias utilizadas por Cube Investments,</w:t>
      </w:r>
    </w:p>
    <w:p>
      <w:pPr>
        <w:pStyle w:val="normal1"/>
        <w:keepNext w:val="false"/>
        <w:keepLines w:val="false"/>
        <w:pageBreakBefore w:val="false"/>
        <w:widowControl w:val="false"/>
        <w:shd w:val="clear" w:fill="auto"/>
        <w:spacing w:lineRule="auto" w:line="240" w:before="41" w:after="0"/>
        <w:ind w:hanging="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S.A. y RDBE, S.A.</w:t>
      </w:r>
    </w:p>
    <w:p>
      <w:pPr>
        <w:pStyle w:val="normal1"/>
        <w:keepNext w:val="false"/>
        <w:keepLines w:val="false"/>
        <w:pageBreakBefore w:val="false"/>
        <w:widowControl w:val="false"/>
        <w:shd w:val="clear" w:fill="auto"/>
        <w:spacing w:lineRule="auto" w:line="276" w:before="241"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contratante se obliga a no divulgar ni compartir dicha información con terceros, salvo autorización expresa y por escrito de Cube Investments, S.A., o cuando la divulgación sea requerida por ley, autoridad competente o resolución judicial.</w:t>
      </w:r>
    </w:p>
    <w:p>
      <w:pPr>
        <w:pStyle w:val="normal1"/>
        <w:keepNext w:val="false"/>
        <w:keepLines w:val="false"/>
        <w:pageBreakBefore w:val="false"/>
        <w:widowControl w:val="false"/>
        <w:shd w:val="clear" w:fill="auto"/>
        <w:spacing w:lineRule="auto" w:line="276" w:before="199" w:after="0"/>
        <w:ind w:hanging="0" w:left="566" w:right="27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Asimismo, el contratante se obliga a no utilizar la información confidencial para fines distintos a los contemplados en este Contrato y en el Acuerdo de Inversión, ni para desarrollar, directa o indirectamente, actividades o negocios que compitan con los de Cube Investments, S.A. o RDBE, S.A.</w:t>
      </w:r>
    </w:p>
    <w:p>
      <w:pPr>
        <w:pStyle w:val="normal1"/>
        <w:keepNext w:val="false"/>
        <w:keepLines w:val="false"/>
        <w:pageBreakBefore w:val="false"/>
        <w:widowControl w:val="false"/>
        <w:shd w:val="clear" w:fill="auto"/>
        <w:spacing w:lineRule="auto" w:line="276" w:before="100"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obligación de confidencialidad y de no uso competitivo subsistirá de manera indefinida, incluso después de la terminación del presente Contrato.</w:t>
      </w:r>
    </w:p>
    <w:p>
      <w:pPr>
        <w:pStyle w:val="normal1"/>
        <w:keepNext w:val="false"/>
        <w:keepLines w:val="false"/>
        <w:pageBreakBefore w:val="false"/>
        <w:widowControl w:val="false"/>
        <w:shd w:val="clear" w:fill="auto"/>
        <w:spacing w:lineRule="auto" w:line="276" w:before="200"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incumplimiento de lo dispuesto en la presente cláusula facultará a la Contratista a reclamar los daños y perjuicios ocasionados, así como a ejercer las acciones legales que correspondan.</w:t>
      </w:r>
    </w:p>
    <w:p>
      <w:pPr>
        <w:pStyle w:val="normal1"/>
        <w:keepNext w:val="false"/>
        <w:keepLines w:val="false"/>
        <w:pageBreakBefore w:val="false"/>
        <w:widowControl w:val="false"/>
        <w:shd w:val="clear" w:fill="auto"/>
        <w:spacing w:lineRule="auto" w:line="276" w:before="20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SEGUNDA: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RESOLUCIÓN DE CONFLICTOS: Cualquier controversia, disputa, conflicto o reclamación que surja entre los firmantes del presente Contrato entre las partes, con relación a la aplicación, interpretación, ejecución, terminación y/o cumplimiento de este Contrato, ya sea durante su vigencia como luego de su terminación, deberá ser resuelta mediante negociación directa entre las partes dentro de los treinta</w:t>
      </w:r>
    </w:p>
    <w:p>
      <w:pPr>
        <w:pStyle w:val="normal1"/>
        <w:keepNext w:val="false"/>
        <w:keepLines w:val="false"/>
        <w:pageBreakBefore w:val="false"/>
        <w:widowControl w:val="false"/>
        <w:shd w:val="clear" w:fill="auto"/>
        <w:spacing w:lineRule="auto" w:line="276" w:before="0"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(30) días calendario a partir de que la parte afectada comunique a la otra parte su reclamo. Las partes de común acuerdo podrán nombrar un mediador para resolver la disputa dentro del período de negociación. En caso no se llegue a un acuerdo en la negociación dentro de los treinta (30) días calendario a partir de que la parte afectada comunique a la otra parte su reclamo, las partes se obligan a someter la controversia, disputa, conflicto o reclamación a la jurisdicción de los Tribunales de Justicia Ordinarios de la República de Guatemala.</w:t>
      </w:r>
    </w:p>
    <w:p>
      <w:pPr>
        <w:pStyle w:val="normal1"/>
        <w:keepNext w:val="false"/>
        <w:keepLines w:val="false"/>
        <w:pageBreakBefore w:val="false"/>
        <w:widowControl w:val="false"/>
        <w:shd w:val="clear" w:fill="auto"/>
        <w:spacing w:lineRule="auto" w:line="276" w:before="201"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TERCERA: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LEY APLICABLE. El presente contrato se interpretará y regirá según las leyes vigentes de la República de Guatemala.</w:t>
      </w:r>
    </w:p>
    <w:p>
      <w:pPr>
        <w:pStyle w:val="normal1"/>
        <w:keepNext w:val="false"/>
        <w:keepLines w:val="false"/>
        <w:pageBreakBefore w:val="false"/>
        <w:widowControl w:val="false"/>
        <w:shd w:val="clear" w:fill="auto"/>
        <w:tabs>
          <w:tab w:val="clear" w:pos="720"/>
          <w:tab w:val="left" w:pos="5734" w:leader="none"/>
        </w:tabs>
        <w:spacing w:lineRule="auto" w:line="276" w:before="200" w:after="0"/>
        <w:ind w:hanging="0" w:left="56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CUARTA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ACEPTACIÓN Y CONFORMIDAD. Los otorgantes en las calidades en que actuamos, expresamente aceptamos el presente contrato y aceptamos: I) todo lo relacionado; II) que se tuvo a la vista la documentación de identificación citada; y III) que habiendo leído por nosotros mismos, íntegramente este contrato, y bien impuestos de su contenido, objeto, validez y efectos legales, así como de los demás documentos a los que se hace referencia en el mismo, lo aceptamos, ratificamos y firmamos en las calidades con las que actuamos, en la ciudad de Guatemala, el {diaTexto} de {mesTexto} de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75"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75"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3806" w:leader="none"/>
          <w:tab w:val="left" w:pos="4860" w:leader="none"/>
          <w:tab w:val="left" w:pos="8098" w:leader="none"/>
        </w:tabs>
        <w:spacing w:lineRule="auto" w:line="240" w:before="0" w:after="0"/>
        <w:ind w:hanging="0" w:left="566" w:right="538"/>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f)</w:t>
      </w: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ab/>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b/>
        <w:t>f)</w:t>
      </w: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ab/>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POR CUBE INVESTMENTS, S.A.</w:t>
        <w:tab/>
        <w:tab/>
        <w:t xml:space="preserve"> POR RDBE, S.A.</w:t>
      </w:r>
    </w:p>
    <w:p>
      <w:pPr>
        <w:pStyle w:val="normal1"/>
        <w:keepNext w:val="false"/>
        <w:keepLines w:val="false"/>
        <w:pageBreakBefore w:val="false"/>
        <w:widowControl w:val="false"/>
        <w:shd w:val="clear" w:fill="auto"/>
        <w:spacing w:lineRule="auto" w:line="240" w:before="24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24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3779" w:leader="none"/>
        </w:tabs>
        <w:spacing w:lineRule="auto" w:line="240"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f) </w:t>
      </w: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ab/>
      </w:r>
    </w:p>
    <w:p>
      <w:pPr>
        <w:pStyle w:val="normal1"/>
        <w:keepNext w:val="false"/>
        <w:keepLines w:val="false"/>
        <w:pageBreakBefore w:val="false"/>
        <w:widowControl w:val="false"/>
        <w:shd w:val="clear" w:fill="auto"/>
        <w:tabs>
          <w:tab w:val="clear" w:pos="720"/>
          <w:tab w:val="left" w:pos="3779" w:leader="none"/>
        </w:tabs>
        <w:spacing w:lineRule="auto" w:line="240"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sdt>
        <w:sdtPr>
          <w:tag w:val="goog_rdk_14"/>
          <w:id w:val="11400935"/>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w:t>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nombreCompleto}</w:t>
      </w:r>
    </w:p>
    <w:p>
      <w:pPr>
        <w:pStyle w:val="normal1"/>
        <w:keepNext w:val="false"/>
        <w:keepLines w:val="false"/>
        <w:pageBreakBefore w:val="false"/>
        <w:widowControl w:val="false"/>
        <w:shd w:val="clear" w:fill="auto"/>
        <w:spacing w:lineRule="auto" w:line="240" w:before="0" w:after="0"/>
        <w:ind w:hanging="0" w:left="294"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sectPr>
      <w:headerReference w:type="even" r:id="rId2"/>
      <w:headerReference w:type="default" r:id="rId3"/>
      <w:headerReference w:type="first" r:id="rId4"/>
      <w:type w:val="nextPage"/>
      <w:pgSz w:w="12240" w:h="15840"/>
      <w:pgMar w:left="1800" w:right="1800" w:gutter="0" w:header="821" w:top="1880" w:footer="0" w:bottom="99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Quattrocento Sans">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font>
  <w:font w:name="Noto Sans Symbols">
    <w:charset w:val="01"/>
    <w:family w:val="swiss"/>
    <w:pitch w:val="variable"/>
    <w:embedRegular r:id="rId13" w:fontKey="{0D014A78-CABC-4EF0-12AC-5CD89AEFDE0D}"/>
    <w:embedBold r:id="rId14" w:fontKey="{0E014A78-CABC-4EF0-12AC-5CD89AEFDE0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spacing w:lineRule="auto" w:line="9" w:before="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10">
          <wp:simplePos x="0" y="0"/>
          <wp:positionH relativeFrom="page">
            <wp:posOffset>1230630</wp:posOffset>
          </wp:positionH>
          <wp:positionV relativeFrom="page">
            <wp:posOffset>521335</wp:posOffset>
          </wp:positionV>
          <wp:extent cx="1882140" cy="590550"/>
          <wp:effectExtent l="0" t="0" r="0" b="0"/>
          <wp:wrapNone/>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882140" cy="5905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spacing w:lineRule="auto" w:line="9" w:before="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10">
          <wp:simplePos x="0" y="0"/>
          <wp:positionH relativeFrom="page">
            <wp:posOffset>1230630</wp:posOffset>
          </wp:positionH>
          <wp:positionV relativeFrom="page">
            <wp:posOffset>521335</wp:posOffset>
          </wp:positionV>
          <wp:extent cx="1882140" cy="590550"/>
          <wp:effectExtent l="0" t="0" r="0" b="0"/>
          <wp:wrapNone/>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882140" cy="59055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Noto Sans Symbols" w:hAnsi="Noto Sans Symbols" w:cs="Noto Sans Symbols" w:hint="default"/>
        <w:sz w:val="20"/>
        <w:i w:val="false"/>
        <w:b w:val="false"/>
        <w:szCs w:val="20"/>
        <w:iCs w:val="false"/>
        <w:bCs w:val="false"/>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2">
    <w:lvl w:ilvl="0">
      <w:start w:val="1"/>
      <w:numFmt w:val="decimal"/>
      <w:lvlText w:val="%1."/>
      <w:lvlJc w:val="left"/>
      <w:pPr>
        <w:tabs>
          <w:tab w:val="num" w:pos="0"/>
        </w:tabs>
        <w:ind w:left="926" w:hanging="360"/>
      </w:pPr>
      <w:rPr>
        <w:sz w:val="20"/>
        <w:i w:val="false"/>
        <w:b w:val="false"/>
        <w:szCs w:val="20"/>
        <w:iCs w:val="false"/>
        <w:bCs w:val="false"/>
        <w:rFonts w:ascii="Quattrocento Sans" w:hAnsi="Quattrocento Sans" w:eastAsia="Quattrocento Sans" w:cs="Quattrocento Sans"/>
      </w:rPr>
    </w:lvl>
    <w:lvl w:ilvl="1">
      <w:start w:val="1"/>
      <w:numFmt w:val="decimal"/>
      <w:lvlText w:val="%1.%2."/>
      <w:lvlJc w:val="left"/>
      <w:pPr>
        <w:tabs>
          <w:tab w:val="num" w:pos="0"/>
        </w:tabs>
        <w:ind w:left="926" w:hanging="410"/>
      </w:pPr>
      <w:rPr>
        <w:sz w:val="20"/>
        <w:i w:val="false"/>
        <w:b w:val="false"/>
        <w:szCs w:val="20"/>
        <w:iCs w:val="false"/>
        <w:bCs w:val="false"/>
        <w:rFonts w:ascii="Quattrocento Sans" w:hAnsi="Quattrocento Sans" w:eastAsia="Quattrocento Sans" w:cs="Quattrocento Sans"/>
      </w:rPr>
    </w:lvl>
    <w:lvl w:ilvl="2">
      <w:start w:val="0"/>
      <w:numFmt w:val="bullet"/>
      <w:lvlText w:val=""/>
      <w:lvlJc w:val="left"/>
      <w:pPr>
        <w:tabs>
          <w:tab w:val="num" w:pos="0"/>
        </w:tabs>
        <w:ind w:left="2464" w:hanging="410"/>
      </w:pPr>
      <w:rPr>
        <w:rFonts w:ascii="Symbol" w:hAnsi="Symbol" w:cs="Symbol" w:hint="default"/>
      </w:rPr>
    </w:lvl>
    <w:lvl w:ilvl="3">
      <w:start w:val="0"/>
      <w:numFmt w:val="bullet"/>
      <w:lvlText w:val=""/>
      <w:lvlJc w:val="left"/>
      <w:pPr>
        <w:tabs>
          <w:tab w:val="num" w:pos="0"/>
        </w:tabs>
        <w:ind w:left="3236" w:hanging="410"/>
      </w:pPr>
      <w:rPr>
        <w:rFonts w:ascii="Symbol" w:hAnsi="Symbol" w:cs="Symbol" w:hint="default"/>
      </w:rPr>
    </w:lvl>
    <w:lvl w:ilvl="4">
      <w:start w:val="0"/>
      <w:numFmt w:val="bullet"/>
      <w:lvlText w:val=""/>
      <w:lvlJc w:val="left"/>
      <w:pPr>
        <w:tabs>
          <w:tab w:val="num" w:pos="0"/>
        </w:tabs>
        <w:ind w:left="4008" w:hanging="410"/>
      </w:pPr>
      <w:rPr>
        <w:rFonts w:ascii="Symbol" w:hAnsi="Symbol" w:cs="Symbol" w:hint="default"/>
      </w:rPr>
    </w:lvl>
    <w:lvl w:ilvl="5">
      <w:start w:val="0"/>
      <w:numFmt w:val="bullet"/>
      <w:lvlText w:val=""/>
      <w:lvlJc w:val="left"/>
      <w:pPr>
        <w:tabs>
          <w:tab w:val="num" w:pos="0"/>
        </w:tabs>
        <w:ind w:left="4780" w:hanging="410"/>
      </w:pPr>
      <w:rPr>
        <w:rFonts w:ascii="Symbol" w:hAnsi="Symbol" w:cs="Symbol" w:hint="default"/>
      </w:rPr>
    </w:lvl>
    <w:lvl w:ilvl="6">
      <w:start w:val="0"/>
      <w:numFmt w:val="bullet"/>
      <w:lvlText w:val=""/>
      <w:lvlJc w:val="left"/>
      <w:pPr>
        <w:tabs>
          <w:tab w:val="num" w:pos="0"/>
        </w:tabs>
        <w:ind w:left="5552" w:hanging="410"/>
      </w:pPr>
      <w:rPr>
        <w:rFonts w:ascii="Symbol" w:hAnsi="Symbol" w:cs="Symbol" w:hint="default"/>
      </w:rPr>
    </w:lvl>
    <w:lvl w:ilvl="7">
      <w:start w:val="0"/>
      <w:numFmt w:val="bullet"/>
      <w:lvlText w:val=""/>
      <w:lvlJc w:val="left"/>
      <w:pPr>
        <w:tabs>
          <w:tab w:val="num" w:pos="0"/>
        </w:tabs>
        <w:ind w:left="6324" w:hanging="410"/>
      </w:pPr>
      <w:rPr>
        <w:rFonts w:ascii="Symbol" w:hAnsi="Symbol" w:cs="Symbol" w:hint="default"/>
      </w:rPr>
    </w:lvl>
    <w:lvl w:ilvl="8">
      <w:start w:val="0"/>
      <w:numFmt w:val="bullet"/>
      <w:lvlText w:val=""/>
      <w:lvlJc w:val="left"/>
      <w:pPr>
        <w:tabs>
          <w:tab w:val="num" w:pos="0"/>
        </w:tabs>
        <w:ind w:left="7096" w:hanging="410"/>
      </w:pPr>
      <w:rPr>
        <w:rFonts w:ascii="Symbol" w:hAnsi="Symbol" w:cs="Symbol" w:hint="default"/>
      </w:rPr>
    </w:lvl>
  </w:abstractNum>
  <w:abstractNum w:abstractNumId="3">
    <w:lvl w:ilvl="0">
      <w:start w:val="1"/>
      <w:numFmt w:val="decimal"/>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4">
    <w:lvl w:ilvl="0">
      <w:start w:val="1"/>
      <w:numFmt w:val="decimal"/>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5">
    <w:lvl w:ilvl="0">
      <w:start w:val="1"/>
      <w:numFmt w:val="decimal"/>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6">
    <w:lvl w:ilvl="0">
      <w:start w:val="1"/>
      <w:numFmt w:val="lowerLetter"/>
      <w:lvlText w:val="%1)"/>
      <w:lvlJc w:val="left"/>
      <w:pPr>
        <w:tabs>
          <w:tab w:val="num" w:pos="0"/>
        </w:tabs>
        <w:ind w:left="566" w:hanging="248"/>
      </w:pPr>
      <w:rPr>
        <w:sz w:val="20"/>
        <w:i w:val="false"/>
        <w:b w:val="false"/>
        <w:szCs w:val="20"/>
        <w:iCs w:val="false"/>
        <w:bCs w:val="false"/>
        <w:rFonts w:ascii="Quattrocento Sans" w:hAnsi="Quattrocento Sans" w:eastAsia="Quattrocento Sans" w:cs="Quattrocento Sans"/>
      </w:rPr>
    </w:lvl>
    <w:lvl w:ilvl="1">
      <w:start w:val="1"/>
      <w:numFmt w:val="upperLetter"/>
      <w:lvlText w:val="%2."/>
      <w:lvlJc w:val="left"/>
      <w:pPr>
        <w:tabs>
          <w:tab w:val="num" w:pos="0"/>
        </w:tabs>
        <w:ind w:left="926" w:hanging="360"/>
      </w:pPr>
      <w:rPr>
        <w:sz w:val="20"/>
        <w:i w:val="false"/>
        <w:b w:val="false"/>
        <w:szCs w:val="20"/>
        <w:iCs w:val="false"/>
        <w:bCs w:val="false"/>
        <w:rFonts w:ascii="Quattrocento Sans" w:hAnsi="Quattrocento Sans" w:eastAsia="Quattrocento Sans" w:cs="Quattrocento Sans"/>
      </w:rPr>
    </w:lvl>
    <w:lvl w:ilvl="2">
      <w:start w:val="0"/>
      <w:numFmt w:val="bullet"/>
      <w:lvlText w:val=""/>
      <w:lvlJc w:val="left"/>
      <w:pPr>
        <w:tabs>
          <w:tab w:val="num" w:pos="0"/>
        </w:tabs>
        <w:ind w:left="1777" w:hanging="360"/>
      </w:pPr>
      <w:rPr>
        <w:rFonts w:ascii="Symbol" w:hAnsi="Symbol" w:cs="Symbol" w:hint="default"/>
      </w:rPr>
    </w:lvl>
    <w:lvl w:ilvl="3">
      <w:start w:val="0"/>
      <w:numFmt w:val="bullet"/>
      <w:lvlText w:val=""/>
      <w:lvlJc w:val="left"/>
      <w:pPr>
        <w:tabs>
          <w:tab w:val="num" w:pos="0"/>
        </w:tabs>
        <w:ind w:left="2635" w:hanging="360"/>
      </w:pPr>
      <w:rPr>
        <w:rFonts w:ascii="Symbol" w:hAnsi="Symbol" w:cs="Symbol" w:hint="default"/>
      </w:rPr>
    </w:lvl>
    <w:lvl w:ilvl="4">
      <w:start w:val="0"/>
      <w:numFmt w:val="bullet"/>
      <w:lvlText w:val=""/>
      <w:lvlJc w:val="left"/>
      <w:pPr>
        <w:tabs>
          <w:tab w:val="num" w:pos="0"/>
        </w:tabs>
        <w:ind w:left="3493" w:hanging="360"/>
      </w:pPr>
      <w:rPr>
        <w:rFonts w:ascii="Symbol" w:hAnsi="Symbol" w:cs="Symbol" w:hint="default"/>
      </w:rPr>
    </w:lvl>
    <w:lvl w:ilvl="5">
      <w:start w:val="0"/>
      <w:numFmt w:val="bullet"/>
      <w:lvlText w:val=""/>
      <w:lvlJc w:val="left"/>
      <w:pPr>
        <w:tabs>
          <w:tab w:val="num" w:pos="0"/>
        </w:tabs>
        <w:ind w:left="4351" w:hanging="360"/>
      </w:pPr>
      <w:rPr>
        <w:rFonts w:ascii="Symbol" w:hAnsi="Symbol" w:cs="Symbol" w:hint="default"/>
      </w:rPr>
    </w:lvl>
    <w:lvl w:ilvl="6">
      <w:start w:val="0"/>
      <w:numFmt w:val="bullet"/>
      <w:lvlText w:val=""/>
      <w:lvlJc w:val="left"/>
      <w:pPr>
        <w:tabs>
          <w:tab w:val="num" w:pos="0"/>
        </w:tabs>
        <w:ind w:left="5208" w:hanging="360"/>
      </w:pPr>
      <w:rPr>
        <w:rFonts w:ascii="Symbol" w:hAnsi="Symbol" w:cs="Symbol" w:hint="default"/>
      </w:rPr>
    </w:lvl>
    <w:lvl w:ilvl="7">
      <w:start w:val="0"/>
      <w:numFmt w:val="bullet"/>
      <w:lvlText w:val=""/>
      <w:lvlJc w:val="left"/>
      <w:pPr>
        <w:tabs>
          <w:tab w:val="num" w:pos="0"/>
        </w:tabs>
        <w:ind w:left="6066" w:hanging="360"/>
      </w:pPr>
      <w:rPr>
        <w:rFonts w:ascii="Symbol" w:hAnsi="Symbol" w:cs="Symbol" w:hint="default"/>
      </w:rPr>
    </w:lvl>
    <w:lvl w:ilvl="8">
      <w:start w:val="0"/>
      <w:numFmt w:val="bullet"/>
      <w:lvlText w:val=""/>
      <w:lvlJc w:val="left"/>
      <w:pPr>
        <w:tabs>
          <w:tab w:val="num" w:pos="0"/>
        </w:tabs>
        <w:ind w:left="6924" w:hanging="360"/>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ceraypie">
    <w:name w:val="Cabecera y pie"/>
    <w:basedOn w:val="Normal"/>
    <w:qFormat/>
    <w:pPr/>
    <w:rPr/>
  </w:style>
  <w:style w:type="paragraph" w:styleId="Header">
    <w:name w:val="Header"/>
    <w:basedOn w:val="Cabeceraypi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YToGvO10SK1X3gSNr51tQtTQf8w==">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9</Pages>
  <Words>3818</Words>
  <Characters>21850</Characters>
  <CharactersWithSpaces>25538</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2026-05-04T07:11:32Z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2025-09-15T00:00:00Z</vt:lpwstr>
  </property>
  <property fmtid="{D5CDD505-2E9C-101B-9397-08002B2CF9AE}" pid="3" name="Creator">
    <vt:lpwstr>Microsoft® Word para Microsoft 365</vt:lpwstr>
  </property>
  <property fmtid="{D5CDD505-2E9C-101B-9397-08002B2CF9AE}" pid="4" name="LastSaved">
    <vt:lpwstr>2025-09-30T00:00:00Z</vt:lpwstr>
  </property>
  <property fmtid="{D5CDD505-2E9C-101B-9397-08002B2CF9AE}" pid="5" name="Producer">
    <vt:lpwstr>Microsoft® Word para Microsoft 365</vt:lpwstr>
  </property>
</Properties>
</file>