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bookmarkStart w:id="0" w:name="docs-internal-guid-d6f7173b-7fff-93ff-ae"/>
      <w:bookmarkEnd w:id="0"/>
      <w:r>
        <w:rPr>
          <w:rFonts w:eastAsia="Arial" w:cs="Arial" w:ascii="Arial" w:hAnsi="Arial"/>
          <w:b/>
          <w:i w:val="false"/>
          <w:caps w:val="false"/>
          <w:smallCaps w:val="false"/>
          <w:strike w:val="false"/>
          <w:dstrike w:val="false"/>
          <w:color w:val="000000"/>
          <w:sz w:val="20"/>
          <w:szCs w:val="20"/>
          <w:u w:val="none"/>
          <w:effect w:val="none"/>
          <w:shd w:fill="FFFFFF" w:val="clear"/>
        </w:rPr>
        <w:t>LUCRECIA MARISOL CUX TECÚN</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sz w:val="20"/>
          <w:szCs w:val="20"/>
        </w:rPr>
        <w:t xml:space="preserve">} </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 Actúo en mi calidad de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 xml:space="preserve">Gerente Administrativo y Representante Legal </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xml:space="preserve">de la entidad denominada </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CUBE INVESTMENTS, SOCIEDAD ANÓ</w:t>
      </w:r>
      <w:r>
        <w:rPr>
          <w:rFonts w:eastAsia="Arial" w:cs="Arial" w:ascii="Arial" w:hAnsi="Arial"/>
          <w:b/>
          <w:i w:val="false"/>
          <w:caps w:val="false"/>
          <w:smallCaps w:val="false"/>
          <w:strike w:val="false"/>
          <w:dstrike w:val="false"/>
          <w:color w:val="000000"/>
          <w:sz w:val="20"/>
          <w:szCs w:val="20"/>
          <w:u w:val="none"/>
          <w:effect w:val="none"/>
          <w:shd w:fill="FFFFFF" w:val="clear"/>
        </w:rPr>
        <w:t>Andres</w:t>
      </w:r>
      <w:r>
        <w:rPr>
          <w:rFonts w:eastAsia="Arial" w:cs="Arial" w:ascii="Arial;sans-serif" w:hAnsi="Arial;sans-serif"/>
          <w:b/>
          <w:i w:val="false"/>
          <w:caps w:val="false"/>
          <w:smallCaps w:val="false"/>
          <w:strike w:val="false"/>
          <w:dstrike w:val="false"/>
          <w:color w:val="000000"/>
          <w:sz w:val="20"/>
          <w:szCs w:val="20"/>
          <w:u w:val="none"/>
          <w:effect w:val="none"/>
          <w:shd w:fill="FFFFFF" w:val="clear"/>
        </w:rPr>
        <w:t>NIMA</w:t>
      </w:r>
      <w:r>
        <w:rPr>
          <w:rFonts w:eastAsia="Arial" w:cs="Arial" w:ascii="Arial;sans-serif" w:hAnsi="Arial;sans-serif"/>
          <w:b w:val="false"/>
          <w:i w:val="false"/>
          <w:caps w:val="false"/>
          <w:smallCaps w:val="false"/>
          <w:strike w:val="false"/>
          <w:dstrike w:val="false"/>
          <w:color w:val="000000"/>
          <w:sz w:val="20"/>
          <w:szCs w:val="20"/>
          <w:u w:val="none"/>
          <w:effect w:val="none"/>
          <w:shd w:fill="FFFFFF" w:val="clear"/>
        </w:rPr>
        <w:t>, lo que acredito con el Acta Notarial en la que consta mi nombramiento, autorizada en la ciudad de Guatemala el veinticuatro de febrero del año dos mil veintiséis, por el Notario Arturo Alberto Arroyo Monahan, nombramiento que quedó inscrito en el Registro Mercantil General de la República con el registro número ochocientos veintisiete mil seiscientos treinta y uno (827631), folio ocho (8), del libro ochocientos cincuenta y ocho (858) de Auxiliares de Comercio</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xml:space="preserve">. En el transcurso del presente contrato se me podrá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b.1) {nombreCompleto},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w:t>
      </w:r>
      <w:r>
        <w:rPr>
          <w:rFonts w:eastAsia="Arial" w:cs="Arial" w:ascii="Arial" w:hAnsi="Arial"/>
          <w:b/>
          <w:bCs/>
          <w:color w:val="000000"/>
          <w:sz w:val="20"/>
          <w:szCs w:val="20"/>
        </w:rPr>
        <w:t>b.2)</w:t>
      </w:r>
      <w:r>
        <w:rPr>
          <w:rFonts w:eastAsia="Arial" w:cs="Arial" w:ascii="Arial" w:hAnsi="Arial"/>
          <w:color w:val="000000"/>
          <w:sz w:val="20"/>
          <w:szCs w:val="20"/>
        </w:rPr>
        <w:t xml:space="preserve"> </w:t>
      </w:r>
      <w:r>
        <w:rPr>
          <w:rFonts w:eastAsia="Arial" w:cs="Arial" w:ascii="Arial" w:hAnsi="Arial"/>
          <w:b/>
          <w:bCs/>
          <w:color w:val="000000"/>
          <w:sz w:val="20"/>
          <w:szCs w:val="20"/>
        </w:rPr>
        <w:t>{nombreCompleto}</w:t>
      </w:r>
      <w:r>
        <w:rPr>
          <w:rFonts w:eastAsia="Arial" w:cs="Arial" w:ascii="Arial" w:hAnsi="Arial"/>
          <w:color w:val="000000"/>
          <w:sz w:val="20"/>
          <w:szCs w:val="20"/>
        </w:rPr>
        <w:t xml:space="preserve">, de {edadTexto} años de edad, {estadoCivil}, {profesion}, {nacionalidad}, de este domicilio, me identifico con Documento Personal de Identificación, Código Único de Identificación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En el transcurso del presente contrato se nos podrán denominar indistintamente como los “Deudores o Deudor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Los Deudores,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los señores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los señores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 los DEUDORES,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declaran los deudores,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LOS DEUDORES,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El Deudor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el Deudor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el Deudor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El Deudor Garante se obliga a mantener el Bien en buen estado, de tal forma que conserve su valor y no comprometa la Garantía Mobiliaria, obligándose a realizar los mantenimientos preventivos de que fueren necesarios a tal efecto. En caso el Deudor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del Deudor Garante y a su cargo en el taller que elija El Deudor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los Deudores Garante designa como depositario del Bien otorgado en Garantía Mobiliaria a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 xml:space="preserve">{/deudoresAdicionales}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w:t>
      </w:r>
      <w:r>
        <w:rPr>
          <w:rFonts w:eastAsia="Arial" w:cs="Arial" w:ascii="Arial" w:hAnsi="Arial"/>
          <w:color w:val="000000"/>
          <w:sz w:val="20"/>
          <w:szCs w:val="20"/>
          <w:lang w:val="es-ES"/>
        </w:rPr>
        <w:t xml:space="preserve">al Depositario </w:t>
      </w:r>
      <w:r>
        <w:rPr>
          <w:rFonts w:eastAsia="Arial" w:cs="Arial" w:ascii="Arial" w:hAnsi="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r>
        <w:rPr>
          <w:rFonts w:eastAsia="Arial" w:cs="Arial" w:ascii="Arial;sans-serif" w:hAnsi="Arial;sans-serif"/>
          <w:b/>
          <w:i w:val="false"/>
          <w:caps w:val="false"/>
          <w:smallCaps w:val="false"/>
          <w:strike w:val="false"/>
          <w:dstrike w:val="false"/>
          <w:color w:val="000000"/>
          <w:sz w:val="20"/>
          <w:szCs w:val="20"/>
          <w:u w:val="none"/>
          <w:effect w:val="none"/>
          <w:shd w:fill="auto" w:val="clear"/>
        </w:rPr>
        <w:t>LUCRECIA MARISOL CUX TECÚN</w:t>
      </w:r>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acepta de forma expresa la Garantía Mobiliaria constituida por el presente contrato, a favor de su representada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 xml:space="preserve">{/deudoresAdicionales}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El Deudor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rPr>
        <w:t>b</w:t>
      </w:r>
      <w:r>
        <w:rPr>
          <w:rFonts w:eastAsia="Arial" w:cs="Arial" w:ascii="Arial" w:hAnsi="Arial"/>
          <w:b/>
          <w:color w:val="000000"/>
          <w:sz w:val="20"/>
          <w:szCs w:val="20"/>
          <w:lang w:val="es-ES"/>
        </w:rPr>
        <w:t>.1)</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 xml:space="preserve">Desapoderamiento del bien objeto de la garantía mobiliaria: </w:t>
      </w:r>
      <w:r>
        <w:rPr>
          <w:rFonts w:eastAsia="Arial" w:cs="Arial" w:ascii="Arial" w:hAnsi="Arial"/>
          <w:color w:val="000000"/>
          <w:sz w:val="20"/>
          <w:szCs w:val="20"/>
          <w:lang w:val="es-ES"/>
        </w:rPr>
        <w:t xml:space="preserve">En caso el bien identificado en el numeral romano </w:t>
      </w:r>
      <w:r>
        <w:rPr>
          <w:rFonts w:eastAsia="Arial" w:cs="Arial" w:ascii="Arial" w:hAnsi="Arial"/>
          <w:b/>
          <w:color w:val="000000"/>
          <w:sz w:val="20"/>
          <w:szCs w:val="20"/>
          <w:lang w:val="es-ES"/>
        </w:rPr>
        <w:t xml:space="preserve">(II) </w:t>
      </w:r>
      <w:r>
        <w:rPr>
          <w:rFonts w:eastAsia="Arial" w:cs="Arial" w:ascii="Arial" w:hAnsi="Arial"/>
          <w:color w:val="000000"/>
          <w:sz w:val="20"/>
          <w:szCs w:val="20"/>
          <w:lang w:val="es-ES"/>
        </w:rPr>
        <w:t>de la cláusula primera del presente contrato se encuentre en poder de alguno del Deudor Garante o del Depositario nombrado en el presente documento,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queda en libertad de solicitar, sin citación, requerimiento o notificación previa al Deudor Garante, a un Juez de Primera Instancia del Ramo Civil del</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solicitar cualquier otra providencia de urgencia que sea necesaria para la ejecución de la garantía mobiliaria. </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b.2) Notificación: </w:t>
      </w:r>
      <w:r>
        <w:rPr>
          <w:rFonts w:eastAsia="Arial" w:cs="Arial" w:ascii="Arial" w:hAnsi="Arial"/>
          <w:color w:val="000000"/>
          <w:sz w:val="20"/>
          <w:szCs w:val="20"/>
          <w:lang w:val="es-ES"/>
        </w:rPr>
        <w:t>Transcurridos</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cinco (5) días de librada la orden de secuestro  o  de desapoderamiento se notificará al Deudor Garante y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en la(s) dirección(es) fijada(s) por el Deudor Garante y Depositario en el presente contrato, señalándoles la causal de incumplimiento y el saldo adeudado</w:t>
      </w:r>
      <w:r>
        <w:rPr>
          <w:rFonts w:eastAsia="Arial" w:cs="Arial" w:ascii="Arial" w:hAnsi="Arial"/>
          <w:b/>
          <w:color w:val="000000"/>
          <w:sz w:val="20"/>
          <w:szCs w:val="20"/>
          <w:lang w:val="es-ES"/>
        </w:rPr>
        <w:t>.</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En caso de que el Deudor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color w:val="000000"/>
          <w:sz w:val="20"/>
          <w:szCs w:val="20"/>
          <w:lang w:val="es-ES"/>
        </w:rPr>
        <w:t>El Deudor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al Deudor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lef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b.3) Forma de Entrega del  Bien Mueble: </w:t>
      </w:r>
      <w:r>
        <w:rPr>
          <w:rFonts w:eastAsia="Arial" w:cs="Arial" w:ascii="Arial" w:hAnsi="Arial"/>
          <w:color w:val="000000"/>
          <w:sz w:val="20"/>
          <w:szCs w:val="20"/>
          <w:lang w:val="es-ES"/>
        </w:rPr>
        <w:t>En caso no se tenga por acreditado el pago a entera satisfacción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conforme lo antes expuesto, y si no se hubiere ejecutado la orden de secuestro o desapoderamiento, el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Garante 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dentro del tercer día hábil, a partir del día siguiente de la comunicación por parte de la Acreedora Garantizada.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convendrán en el acto la forma y modo de pago. Una vez la Acreedora </w:t>
      </w:r>
      <w:r>
        <w:rPr>
          <w:rFonts w:eastAsia="Arial" w:cs="Arial" w:ascii="Arial" w:hAnsi="Arial"/>
          <w:color w:val="000000"/>
          <w:sz w:val="20"/>
          <w:szCs w:val="20"/>
          <w:lang w:val="es-ES"/>
        </w:rPr>
        <w:t>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lang w:val="es-ES"/>
        </w:rPr>
        <w:t xml:space="preserve">(c) </w:t>
      </w:r>
      <w:r>
        <w:rPr>
          <w:rFonts w:eastAsia="Arial" w:cs="Arial" w:ascii="Arial" w:hAnsi="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lang w:val="es-ES"/>
        </w:rPr>
        <w:t>(d)</w:t>
      </w:r>
      <w:r>
        <w:rPr>
          <w:rFonts w:eastAsia="Arial" w:cs="Arial" w:ascii="Arial" w:hAnsi="Arial"/>
          <w:color w:val="000000"/>
          <w:sz w:val="20"/>
          <w:szCs w:val="20"/>
          <w:lang w:val="es-ES"/>
        </w:rPr>
        <w:t xml:space="preserve"> Aprobada la liquidación estableciendo en definitiva el monto de cada rubro que integra la misma, así como el saldo insoluto en caso de haberlo, la Acreedora Garantizada podrá demandar del Deudor el pago de dicho saldo insoluto, seguidamente se procederá con la entrega de los fondos a las personas que corresponda en el orden siguiente: </w:t>
      </w:r>
      <w:r>
        <w:rPr>
          <w:rFonts w:eastAsia="Arial" w:cs="Arial" w:ascii="Arial" w:hAnsi="Arial"/>
          <w:b/>
          <w:color w:val="000000"/>
          <w:sz w:val="20"/>
          <w:szCs w:val="20"/>
          <w:lang w:val="es-ES"/>
        </w:rPr>
        <w:t>(i)</w:t>
      </w:r>
      <w:r>
        <w:rPr>
          <w:rFonts w:eastAsia="Arial" w:cs="Arial" w:ascii="Arial" w:hAnsi="Arial"/>
          <w:color w:val="000000"/>
          <w:sz w:val="20"/>
          <w:szCs w:val="20"/>
          <w:lang w:val="es-ES"/>
        </w:rPr>
        <w:t xml:space="preserve"> honorarios y gastos del notario designado; </w:t>
      </w:r>
      <w:r>
        <w:rPr>
          <w:rFonts w:eastAsia="Arial" w:cs="Arial" w:ascii="Arial" w:hAnsi="Arial"/>
          <w:b/>
          <w:color w:val="000000"/>
          <w:sz w:val="20"/>
          <w:szCs w:val="20"/>
          <w:lang w:val="es-ES"/>
        </w:rPr>
        <w:t>(ii)</w:t>
      </w:r>
      <w:r>
        <w:rPr>
          <w:rFonts w:eastAsia="Arial" w:cs="Arial" w:ascii="Arial" w:hAnsi="Arial"/>
          <w:color w:val="000000"/>
          <w:sz w:val="20"/>
          <w:szCs w:val="20"/>
          <w:lang w:val="es-ES"/>
        </w:rPr>
        <w:t xml:space="preserve"> gastos de la subasta si fuere el caso; </w:t>
      </w:r>
      <w:r>
        <w:rPr>
          <w:rFonts w:eastAsia="Arial" w:cs="Arial" w:ascii="Arial" w:hAnsi="Arial"/>
          <w:b/>
          <w:color w:val="000000"/>
          <w:sz w:val="20"/>
          <w:szCs w:val="20"/>
          <w:lang w:val="es-ES"/>
        </w:rPr>
        <w:t>(iii)</w:t>
      </w:r>
      <w:r>
        <w:rPr>
          <w:rFonts w:eastAsia="Arial" w:cs="Arial" w:ascii="Arial" w:hAnsi="Arial"/>
          <w:color w:val="000000"/>
          <w:sz w:val="20"/>
          <w:szCs w:val="20"/>
          <w:lang w:val="es-ES"/>
        </w:rPr>
        <w:t xml:space="preserve"> honorarios profesionales; </w:t>
      </w:r>
      <w:r>
        <w:rPr>
          <w:rFonts w:eastAsia="Arial" w:cs="Arial" w:ascii="Arial" w:hAnsi="Arial"/>
          <w:b/>
          <w:color w:val="000000"/>
          <w:sz w:val="20"/>
          <w:szCs w:val="20"/>
          <w:lang w:val="es-ES"/>
        </w:rPr>
        <w:t>(iv)</w:t>
      </w:r>
      <w:r>
        <w:rPr>
          <w:rFonts w:eastAsia="Arial" w:cs="Arial" w:ascii="Arial" w:hAnsi="Arial"/>
          <w:color w:val="000000"/>
          <w:sz w:val="20"/>
          <w:szCs w:val="20"/>
          <w:lang w:val="es-ES"/>
        </w:rPr>
        <w:t xml:space="preserve"> pago de la obligación garantizada; </w:t>
      </w:r>
      <w:r>
        <w:rPr>
          <w:rFonts w:eastAsia="Arial" w:cs="Arial" w:ascii="Arial" w:hAnsi="Arial"/>
          <w:b/>
          <w:color w:val="000000"/>
          <w:sz w:val="20"/>
          <w:szCs w:val="20"/>
          <w:lang w:val="es-ES"/>
        </w:rPr>
        <w:t>(v)</w:t>
      </w:r>
      <w:r>
        <w:rPr>
          <w:rFonts w:eastAsia="Arial" w:cs="Arial" w:ascii="Arial" w:hAnsi="Arial"/>
          <w:color w:val="000000"/>
          <w:sz w:val="20"/>
          <w:szCs w:val="20"/>
          <w:lang w:val="es-ES"/>
        </w:rPr>
        <w:t xml:space="preserve"> pago de otras obligaciones garantizadas con garantías mobiliarias con prelación inferior; y,</w:t>
      </w:r>
      <w:r>
        <w:rPr>
          <w:rFonts w:eastAsia="Arial" w:cs="Arial" w:ascii="Arial" w:hAnsi="Arial"/>
          <w:b/>
          <w:color w:val="000000"/>
          <w:sz w:val="20"/>
          <w:szCs w:val="20"/>
          <w:lang w:val="es-ES"/>
        </w:rPr>
        <w:t xml:space="preserve"> (vi)</w:t>
      </w:r>
      <w:r>
        <w:rPr>
          <w:rFonts w:eastAsia="Arial" w:cs="Arial" w:ascii="Arial" w:hAnsi="Arial"/>
          <w:color w:val="000000"/>
          <w:sz w:val="20"/>
          <w:szCs w:val="20"/>
          <w:lang w:val="es-ES"/>
        </w:rPr>
        <w:t xml:space="preserve"> el remante si lo hubiere, se entregará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lo cual deberá constar en Acta Notarial</w:t>
      </w:r>
      <w:r>
        <w:rPr>
          <w:rFonts w:eastAsia="Arial" w:cs="Arial" w:ascii="Arial" w:hAnsi="Arial"/>
          <w:b/>
          <w:color w:val="000000"/>
          <w:sz w:val="20"/>
          <w:szCs w:val="20"/>
          <w:lang w:val="es-ES"/>
        </w:rPr>
        <w:t>;</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(e)</w:t>
      </w:r>
      <w:r>
        <w:rPr>
          <w:rFonts w:eastAsia="Arial" w:cs="Arial" w:ascii="Arial" w:hAnsi="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demandar al Deudor el pago del saldo insoluto si lo hubiere; </w:t>
      </w:r>
      <w:r>
        <w:rPr>
          <w:rFonts w:eastAsia="Arial" w:cs="Arial" w:ascii="Arial" w:hAnsi="Arial"/>
          <w:b/>
          <w:color w:val="000000"/>
          <w:sz w:val="20"/>
          <w:szCs w:val="20"/>
          <w:lang w:val="es-ES"/>
        </w:rPr>
        <w:t>(f)</w:t>
      </w:r>
      <w:r>
        <w:rPr>
          <w:rFonts w:eastAsia="Arial" w:cs="Arial" w:ascii="Arial" w:hAnsi="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el Deudor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al Deudor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w:t>
      </w:r>
      <w:r>
        <w:rPr>
          <w:rFonts w:eastAsia="Arial" w:cs="Arial" w:ascii="Arial" w:hAnsi="Arial"/>
          <w:color w:val="000000"/>
          <w:sz w:val="20"/>
          <w:szCs w:val="20"/>
          <w:lang w:val="es-ES"/>
        </w:rPr>
        <w:t>Deudor o el Deudor Garante y/o el Depositario</w:t>
      </w:r>
      <w:r>
        <w:rPr>
          <w:rFonts w:eastAsia="Arial" w:cs="Arial" w:ascii="Arial" w:hAnsi="Arial"/>
          <w:color w:val="000000"/>
          <w:sz w:val="20"/>
          <w:szCs w:val="20"/>
        </w:rPr>
        <w:t xml:space="preserve">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 xml:space="preserve">así mismo señala que cualquier comunicación electrónica podrá realizarse de forma conjunta a los correos electrónicos {correo}{#deudoresAdicionales} {correo}{/deudoresAdicionales} salvo que se notifique  a la Acreedora Garantizada por escrito y con quince (15) días de anticipación de cualquier cambio y que obre en poder </w:t>
      </w:r>
      <w:r>
        <w:rPr>
          <w:rFonts w:eastAsia="Arial" w:cs="Arial" w:ascii="Arial" w:hAnsi="Arial"/>
          <w:color w:val="000000"/>
          <w:sz w:val="20"/>
          <w:szCs w:val="20"/>
          <w:lang w:val="es-ES"/>
        </w:rPr>
        <w:t xml:space="preserve">del Deudor </w:t>
      </w:r>
      <w:r>
        <w:rPr>
          <w:rFonts w:eastAsia="Arial" w:cs="Arial" w:ascii="Arial" w:hAnsi="Arial"/>
          <w:color w:val="000000"/>
          <w:sz w:val="20"/>
          <w:szCs w:val="20"/>
        </w:rPr>
        <w:t>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w:t>
      </w:r>
      <w:r>
        <w:rPr>
          <w:rFonts w:eastAsia="Arial" w:cs="Arial" w:ascii="Arial" w:hAnsi="Arial"/>
          <w:color w:val="000000"/>
          <w:sz w:val="20"/>
          <w:szCs w:val="20"/>
          <w:lang w:val="es-ES"/>
        </w:rPr>
        <w:t xml:space="preserve">Deudor Garante </w:t>
      </w:r>
      <w:r>
        <w:rPr>
          <w:rFonts w:eastAsia="Arial" w:cs="Arial" w:ascii="Arial" w:hAnsi="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 xml:space="preserve">en ningún caso podrá </w:t>
      </w:r>
      <w:r>
        <w:rPr>
          <w:rFonts w:eastAsia="Arial" w:cs="Arial" w:ascii="Arial" w:hAnsi="Arial"/>
          <w:color w:val="000000"/>
          <w:sz w:val="20"/>
          <w:szCs w:val="20"/>
          <w:lang w:val="es-ES"/>
        </w:rPr>
        <w:t xml:space="preserve">el Deudor </w:t>
      </w:r>
      <w:r>
        <w:rPr>
          <w:rFonts w:eastAsia="Arial" w:cs="Arial" w:ascii="Arial" w:hAnsi="Arial"/>
          <w:color w:val="000000"/>
          <w:sz w:val="20"/>
          <w:szCs w:val="20"/>
        </w:rPr>
        <w:t>realizar pagos por consignación, aceptando que tal pago por consignación es en consecuencia improcedente, inválido e ineficaz y no se tendrá por bien hecho.</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lang w:val="es-ES"/>
        </w:rPr>
      </w:pPr>
      <w:r>
        <w:rPr>
          <w:rFonts w:eastAsia="Arial" w:cs="Arial" w:ascii="Arial" w:hAnsi="Arial"/>
          <w:color w:val="000000"/>
          <w:sz w:val="20"/>
          <w:szCs w:val="20"/>
          <w:lang w:val="es-ES"/>
        </w:rPr>
        <w:t>Expresamente declara el Deudor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SÉPTIMA:</w:t>
      </w:r>
      <w:r>
        <w:rPr>
          <w:rFonts w:eastAsia="Arial" w:cs="Arial" w:ascii="Arial" w:hAnsi="Arial"/>
          <w:b/>
          <w:color w:val="000000"/>
          <w:sz w:val="20"/>
          <w:szCs w:val="20"/>
          <w:lang w:val="es-ES"/>
        </w:rPr>
        <w:t xml:space="preserve"> PACTO ESPECIAL. </w:t>
      </w:r>
      <w:bookmarkStart w:id="1" w:name="docs-internal-guid-d0df09b9-7fff-8d30-c8"/>
      <w:bookmarkEnd w:id="1"/>
      <w:r>
        <w:rPr>
          <w:rFonts w:eastAsia="Arial" w:cs="Arial" w:ascii="Arial" w:hAnsi="Arial"/>
          <w:b w:val="false"/>
          <w:bCs w:val="false"/>
          <w:i w:val="false"/>
          <w:caps w:val="false"/>
          <w:smallCaps w:val="false"/>
          <w:strike w:val="false"/>
          <w:dstrike w:val="false"/>
          <w:color w:val="000000"/>
          <w:sz w:val="20"/>
          <w:szCs w:val="20"/>
          <w:u w:val="none"/>
          <w:effect w:val="none"/>
          <w:shd w:fill="auto" w:val="clear"/>
          <w:lang w:val="es-ES"/>
        </w:rPr>
        <w:t>Los Deudores y/o los Deudores Garantes</w:t>
      </w:r>
      <w:r>
        <w:rPr>
          <w:rFonts w:eastAsia="Arial" w:cs="Arial" w:ascii="Arial" w:hAnsi="Arial"/>
          <w:color w:val="000000"/>
          <w:sz w:val="20"/>
          <w:szCs w:val="20"/>
          <w:lang w:val="es-ES"/>
        </w:rPr>
        <w:t xml:space="preserve"> se obligan a otorgar todas las ampliaciones o modificaciones que sean necesarias a efecto de lograr registrar la garantía mobiliaria aquí constituida en el registro correspondiente. Asimismo, los Deudores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u w:val="double"/>
        </w:rPr>
      </w:pPr>
      <w:r>
        <w:rPr>
          <w:rFonts w:eastAsia="Arial" w:cs="Arial" w:ascii="Arial" w:hAnsi="Arial"/>
          <w:color w:val="000000"/>
          <w:sz w:val="20"/>
          <w:szCs w:val="20"/>
          <w:u w:val="double"/>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OCTAVA:</w:t>
      </w:r>
      <w:r>
        <w:rPr>
          <w:rFonts w:eastAsia="Arial" w:cs="Arial" w:ascii="Arial" w:hAnsi="Arial"/>
          <w:b/>
          <w:color w:val="000000"/>
          <w:sz w:val="20"/>
          <w:szCs w:val="20"/>
          <w:lang w:val="es-ES"/>
        </w:rPr>
        <w:t xml:space="preserve"> ACEPTACIÓN. </w:t>
      </w:r>
      <w:bookmarkStart w:id="2" w:name="docs-internal-guid-04c79a16-7fff-0dc9-67"/>
      <w:bookmarkEnd w:id="2"/>
      <w:r>
        <w:rPr>
          <w:rFonts w:eastAsia="Arial" w:cs="Arial" w:ascii="Arial" w:hAnsi="Arial"/>
          <w:b w:val="false"/>
          <w:i w:val="false"/>
          <w:caps w:val="false"/>
          <w:smallCaps w:val="false"/>
          <w:strike w:val="false"/>
          <w:dstrike w:val="false"/>
          <w:color w:val="000000"/>
          <w:sz w:val="20"/>
          <w:szCs w:val="20"/>
          <w:u w:val="none"/>
          <w:effect w:val="none"/>
          <w:shd w:fill="auto" w:val="clear"/>
          <w:lang w:val="es-ES"/>
        </w:rPr>
        <w:t>La Acreedora Garantizada, los Deudores, los Deudores Garantes y/o</w:t>
      </w:r>
      <w:r>
        <w:rPr>
          <w:rFonts w:eastAsia="Arial" w:cs="Arial" w:ascii="Arial" w:hAnsi="Arial"/>
          <w:color w:val="000000"/>
          <w:sz w:val="20"/>
          <w:szCs w:val="20"/>
          <w:lang w:val="es-ES"/>
        </w:rPr>
        <w:t xml:space="preserve">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LUCRECIA MARISOL CUX TECÚN</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Gerente Administrativo y Representante Legal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3" w:name="_heading=h.uur5qj5iugpw"/>
      <w:bookmarkStart w:id="4" w:name="_heading=h.uur5qj5iugpw"/>
      <w:bookmarkEnd w:id="4"/>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bookmarkStart w:id="5" w:name="docs-internal-guid-4d7224f6-7fff-512e-da"/>
      <w:bookmarkEnd w:id="5"/>
      <w:r>
        <w:rPr>
          <w:rFonts w:eastAsia="Arial" w:cs="Arial" w:ascii="Arial;sans-serif" w:hAnsi="Arial;sans-serif"/>
          <w:b w:val="false"/>
          <w:i w:val="false"/>
          <w:caps w:val="false"/>
          <w:smallCaps w:val="false"/>
          <w:strike w:val="false"/>
          <w:dstrike w:val="false"/>
          <w:color w:val="000000"/>
          <w:sz w:val="20"/>
          <w:szCs w:val="20"/>
          <w:u w:val="none"/>
          <w:effect w:val="none"/>
          <w:shd w:fill="auto" w:val="clear"/>
        </w:rPr>
        <w:t xml:space="preserve">Por los </w:t>
      </w:r>
      <w:r>
        <w:rPr>
          <w:rFonts w:eastAsia="Arial" w:cs="Arial" w:ascii="Arial;sans-serif" w:hAnsi="Arial;sans-serif"/>
          <w:b/>
          <w:i w:val="false"/>
          <w:caps w:val="false"/>
          <w:smallCaps w:val="false"/>
          <w:strike w:val="false"/>
          <w:dstrike w:val="false"/>
          <w:color w:val="000000"/>
          <w:sz w:val="20"/>
          <w:szCs w:val="20"/>
          <w:u w:val="none"/>
          <w:effect w:val="none"/>
          <w:shd w:fill="auto" w:val="clear"/>
        </w:rPr>
        <w:t>Deudores, Deudores Garantes y/o Depositario:</w:t>
      </w:r>
      <w:r>
        <w:rPr>
          <w:rFonts w:eastAsia="Arial" w:cs="Arial" w:ascii="Arial" w:hAnsi="Arial"/>
          <w:b w:val="false"/>
          <w:caps w:val="false"/>
          <w:smallCaps w:val="false"/>
          <w:strike w:val="false"/>
          <w:dstrike w:val="false"/>
          <w:color w:val="000000"/>
          <w:sz w:val="20"/>
          <w:szCs w:val="20"/>
          <w:u w:val="none"/>
          <w:effect w:val="none"/>
          <w:shd w:fill="auto" w:val="clear"/>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701"/>
        <w:gridCol w:w="4702"/>
      </w:tblGrid>
      <w:tr>
        <w:trPr/>
        <w:tc>
          <w:tcPr>
            <w:tcW w:w="4701" w:type="dxa"/>
            <w:tcBorders/>
          </w:tcPr>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{col1nombreCompleto}</w:t>
            </w:r>
          </w:p>
          <w:p>
            <w:pPr>
              <w:pStyle w:val="Normal"/>
              <w:jc w:val="center"/>
              <w:rPr>
                <w:rFonts w:ascii="Arial" w:hAnsi="Arial"/>
                <w:sz w:val="20"/>
              </w:rPr>
            </w:pPr>
            <w:r>
              <w:rPr>
                <w:rFonts w:ascii="Arial" w:hAnsi="Arial"/>
                <w:sz w:val="20"/>
              </w:rPr>
            </w:r>
          </w:p>
          <w:p>
            <w:pPr>
              <w:pStyle w:val="Normal"/>
              <w:jc w:val="center"/>
              <w:rPr/>
            </w:pPr>
            <w:r>
              <w:rPr/>
            </w:r>
          </w:p>
        </w:tc>
        <w:tc>
          <w:tcPr>
            <w:tcW w:w="4702" w:type="dxa"/>
            <w:tcBorders/>
          </w:tcPr>
          <w:p>
            <w:pPr>
              <w:pStyle w:val="Normal"/>
              <w:rPr/>
            </w:pPr>
            <w:r>
              <w:rPr/>
              <w:t>{#tieneCol2}</w:t>
            </w:r>
          </w:p>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{col2nombreCompleto}</w:t>
            </w:r>
          </w:p>
          <w:p>
            <w:pPr>
              <w:pStyle w:val="Normal"/>
              <w:jc w:val="center"/>
              <w:rPr>
                <w:rFonts w:ascii="Arial" w:hAnsi="Arial"/>
                <w:sz w:val="20"/>
              </w:rPr>
            </w:pPr>
            <w:r>
              <w:rPr>
                <w:rFonts w:ascii="Arial" w:hAnsi="Arial"/>
                <w:sz w:val="20"/>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font>
  <w:font w:name="Arial Narrow">
    <w:charset w:val="01"/>
    <w:family w:val="roman"/>
    <w:pitch w:val="variable"/>
    <w:embedRegular r:id="rId10" w:fontKey="{0A014A78-CABC-4EF0-12AC-5CD89AEFDE0A}"/>
  </w:font>
  <w:font w:name="Georgia">
    <w:charset w:val="01"/>
    <w:family w:val="roman"/>
    <w:pitch w:val="variable"/>
    <w:embedRegular r:id="rId11" w:fontKey="{0B014A78-CABC-4EF0-12AC-5CD89AEFDE0B}"/>
    <w:embedItalic r:id="rId12" w:fontKey="{0C014A78-CABC-4EF0-12AC-5CD89AEFDE0C}"/>
  </w:font>
  <w:font w:name="Arial">
    <w:charset w:val="01"/>
    <w:family w:val="roman"/>
    <w:pitch w:val="variable"/>
  </w:font>
  <w:font w:name="Arial">
    <w:altName w:val="sans-serif"/>
    <w:charset w:val="01"/>
    <w:family w:val="auto"/>
    <w:pitch w:val="default"/>
  </w:font>
  <w:font w:name="Quattrocento Sans">
    <w:charset w:val="01"/>
    <w:family w:val="roman"/>
    <w:pitch w:val="variable"/>
    <w:embedRegular r:id="rId13" w:fontKey="{0D014A78-CABC-4EF0-12AC-5CD89AEFDE0D}"/>
    <w:embedBold r:id="rId14" w:fontKey="{0E014A78-CABC-4EF0-12AC-5CD89AEFDE0E}"/>
  </w:font>
  <w:font w:name="Arial">
    <w:altName w:val="sans-serif"/>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360"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080"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1800"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2520"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240"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3960"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4680"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5400"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left"/>
      <w:pPr>
        <w:tabs>
          <w:tab w:val="num" w:pos="0"/>
        </w:tabs>
        <w:ind w:left="1068"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788"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2508"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3228"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948"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4668"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5388"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6108"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ndice">
    <w:name w:val="Índice"/>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Cabeceraypie">
    <w:name w:val="Cabecera y pie"/>
    <w:basedOn w:val="Normal"/>
    <w:qFormat/>
    <w:pPr/>
    <w:rPr/>
  </w:style>
  <w:style w:type="paragraph" w:styleId="Header">
    <w:name w:val="Header"/>
    <w:basedOn w:val="Normal"/>
    <w:pPr>
      <w:tabs>
        <w:tab w:val="clear" w:pos="720"/>
        <w:tab w:val="center" w:pos="4252" w:leader="none"/>
        <w:tab w:val="right" w:pos="8504" w:leader="none"/>
      </w:tabs>
      <w:suppressAutoHyphens w:val="true"/>
      <w:spacing w:lineRule="atLeast" w:line="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left="720"/>
      <w:contextualSpacing/>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Application>LibreOffice/24.2.7.2$Linux_X86_64 LibreOffice_project/420$Build-2</Application>
  <AppVersion>15.0000</AppVersion>
  <Pages>8</Pages>
  <Words>4149</Words>
  <Characters>23367</Characters>
  <CharactersWithSpaces>27495</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2026-03-10T16:56:35Z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