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jc w:val="center"/>
        <w:rPr>
          <w:b/>
          <w:bCs/>
        </w:rPr>
      </w:pPr>
      <w:r>
        <w:rPr>
          <w:b/>
          <w:bCs/>
        </w:rPr>
      </w:r>
    </w:p>
    <w:p>
      <w:pPr>
        <w:pStyle w:val="normal1"/>
        <w:spacing w:lineRule="auto" w:line="360"/>
        <w:jc w:val="center"/>
        <w:rPr>
          <w:sz w:val="24"/>
          <w:szCs w:val="24"/>
        </w:rPr>
      </w:pPr>
      <w:r>
        <w:rPr>
          <w:b/>
          <w:bCs/>
          <w:sz w:val="24"/>
          <w:szCs w:val="24"/>
        </w:rPr>
        <w:t xml:space="preserve">CONTRATO DE PARTICIPACIÓN </w:t>
      </w:r>
    </w:p>
    <w:p>
      <w:pPr>
        <w:pStyle w:val="normal1"/>
        <w:spacing w:lineRule="auto" w:line="360"/>
        <w:jc w:val="center"/>
        <w:rPr>
          <w:sz w:val="24"/>
          <w:szCs w:val="24"/>
        </w:rPr>
      </w:pPr>
      <w:r>
        <mc:AlternateContent>
          <mc:Choice Requires="wps">
            <w:drawing>
              <wp:anchor distT="9525" distB="10160" distL="635" distR="1270" simplePos="0" relativeHeight="10" behindDoc="0" locked="0" layoutInCell="1" allowOverlap="1">
                <wp:simplePos x="0" y="0"/>
                <wp:positionH relativeFrom="column">
                  <wp:posOffset>-26035</wp:posOffset>
                </wp:positionH>
                <wp:positionV relativeFrom="paragraph">
                  <wp:posOffset>229235</wp:posOffset>
                </wp:positionV>
                <wp:extent cx="6243320" cy="64770"/>
                <wp:effectExtent l="635" t="9525" r="1270" b="10160"/>
                <wp:wrapNone/>
                <wp:docPr id="1" name="Forma1"/>
                <a:graphic xmlns:a="http://schemas.openxmlformats.org/drawingml/2006/main">
                  <a:graphicData uri="http://schemas.microsoft.com/office/word/2010/wordprocessingShape">
                    <wps:wsp>
                      <wps:cNvSpPr/>
                      <wps:spPr>
                        <a:xfrm>
                          <a:off x="0" y="0"/>
                          <a:ext cx="6243480" cy="64800"/>
                        </a:xfrm>
                        <a:prstGeom prst="straightConnector1">
                          <a:avLst/>
                        </a:prstGeom>
                        <a:noFill/>
                        <a:ln w="19050">
                          <a:solidFill>
                            <a:srgbClr val="D9E5F8"/>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2.05pt;margin-top:18.05pt;width:491.55pt;height:5.05pt;mso-wrap-style:none;v-text-anchor:middle" type="_x0000_t32" path="m0,0l-2147483648,-2147483647e">
                <v:fill o:detectmouseclick="t" on="false"/>
                <v:stroke color="#d9e5f8" weight="19080" joinstyle="miter" endcap="flat"/>
                <w10:wrap type="none"/>
              </v:shape>
            </w:pict>
          </mc:Fallback>
        </mc:AlternateContent>
      </w:r>
      <w:r>
        <w:rPr>
          <w:b/>
          <w:bCs/>
          <w:color w:val="5B4FCF"/>
          <w:sz w:val="24"/>
          <w:szCs w:val="24"/>
        </w:rPr>
        <w:t>Y ADMINISTRACIÓN DE CARTERA</w:t>
      </w:r>
    </w:p>
    <w:p>
      <w:pPr>
        <w:pStyle w:val="normal1"/>
        <w:spacing w:lineRule="auto" w:line="360"/>
        <w:jc w:val="both"/>
        <w:rPr/>
      </w:pPr>
      <w:r>
        <w:rPr/>
      </w:r>
    </w:p>
    <w:tbl>
      <w:tblPr>
        <w:tblStyle w:val="Table1"/>
        <w:tblW w:w="9720" w:type="dxa"/>
        <w:jc w:val="start"/>
        <w:tblInd w:w="0" w:type="dxa"/>
        <w:tblLayout w:type="fixed"/>
        <w:tblCellMar>
          <w:top w:w="140" w:type="dxa"/>
          <w:start w:w="280" w:type="dxa"/>
          <w:bottom w:w="140" w:type="dxa"/>
          <w:end w:w="280" w:type="dxa"/>
        </w:tblCellMar>
        <w:tblLook w:val="0400"/>
      </w:tblPr>
      <w:tblGrid>
        <w:gridCol w:w="9720"/>
      </w:tblGrid>
      <w:tr>
        <w:trPr/>
        <w:tc>
          <w:tcPr>
            <w:tcW w:w="9720" w:type="dxa"/>
            <w:tcBorders/>
            <w:shd w:fill="4436C8" w:val="clear"/>
          </w:tcPr>
          <w:p>
            <w:pPr>
              <w:pStyle w:val="normal1"/>
              <w:spacing w:lineRule="auto" w:line="360"/>
              <w:jc w:val="both"/>
              <w:rPr/>
            </w:pPr>
            <w:r>
              <w:rPr>
                <w:b/>
                <w:bCs/>
                <w:color w:val="FFFFFF"/>
              </w:rPr>
              <w:t>COMPARECIENTES — Partes del contrato</w:t>
            </w:r>
          </w:p>
        </w:tc>
      </w:tr>
    </w:tbl>
    <w:p>
      <w:pPr>
        <w:pStyle w:val="normal1"/>
        <w:spacing w:lineRule="auto" w:line="360"/>
        <w:jc w:val="both"/>
        <w:rPr/>
      </w:pPr>
      <w:r>
        <w:rPr/>
      </w:r>
    </w:p>
    <w:p>
      <w:pPr>
        <w:pStyle w:val="normal1"/>
        <w:spacing w:lineRule="auto" w:line="360"/>
        <w:jc w:val="both"/>
        <w:rPr/>
      </w:pPr>
      <w:r>
        <w:rPr>
          <w:b/>
          <w:bCs/>
        </w:rPr>
        <w:t xml:space="preserve">De una parte: </w:t>
      </w:r>
      <w:r>
        <w:rPr>
          <w:b/>
          <w:bCs/>
          <w:color w:val="5B4FCF"/>
        </w:rPr>
        <w:t>JOSÉ ANDRÉS ASENSIO HERNÁNDEZ</w:t>
      </w:r>
      <w:r>
        <w:rPr/>
        <w:t xml:space="preserve">, identificado con Documento Personal de Identificación, Código Único de Identificación dos mil quinientos cincuenta y tres, cero cinco mil cincuenta y dos, cero ciento uno (2553 05052 0101), extendido por el Registro Nacional de las Personas —RENAP—, quien actúa en su calidad de Administrador Único y Representante Legal de </w:t>
      </w:r>
      <w:r>
        <w:rPr>
          <w:b/>
          <w:bCs/>
          <w:color w:val="5B4FCF"/>
        </w:rPr>
        <w:t>CUBE INVESTMENTS, SOCIEDAD ANÓNIMA</w:t>
      </w:r>
      <w:r>
        <w:rPr/>
        <w:t xml:space="preserve">, conforme al nombramiento inscrito en el Registro Mercantil General de la República al número de Registro ochocientos sesenta mil ciento ochenta y siete (860187), Folio doscientos dos (202), Libro ochocientos sesenta y siete (867) de Auxiliares de Comercio (en adelante </w:t>
      </w:r>
      <w:r>
        <w:rPr>
          <w:b/>
          <w:bCs/>
          <w:color w:val="5B4FCF"/>
        </w:rPr>
        <w:t>"CUBE"</w:t>
      </w:r>
      <w:r>
        <w:rPr/>
        <w:t>).</w:t>
      </w:r>
    </w:p>
    <w:p>
      <w:pPr>
        <w:pStyle w:val="normal1"/>
        <w:spacing w:lineRule="auto" w:line="360"/>
        <w:jc w:val="both"/>
        <w:rPr/>
      </w:pPr>
      <w:r>
        <w:rPr/>
      </w:r>
    </w:p>
    <w:p>
      <w:pPr>
        <w:pStyle w:val="normal1"/>
        <w:spacing w:lineRule="auto" w:line="360"/>
        <w:jc w:val="both"/>
        <w:rPr/>
      </w:pPr>
      <w:r>
        <w:rPr>
          <w:b/>
          <w:bCs/>
        </w:rPr>
        <w:t xml:space="preserve">De la otra parte: </w:t>
      </w:r>
      <w:sdt>
        <w:sdtPr>
          <w:tag w:val="goog_rdk_0"/>
          <w:id w:val="728407716"/>
        </w:sdtPr>
        <w:sdtContent>
          <w:r>
            <w:rPr>
              <w:b/>
              <w:bCs/>
            </w:rPr>
          </w:r>
          <w:r>
            <w:rPr>
              <w:b/>
              <w:bCs/>
            </w:rPr>
          </w:r>
        </w:sdtContent>
      </w:sdt>
      <w:r>
        <w:rPr>
          <w:b/>
          <w:bCs/>
        </w:rPr>
        <w:t>{nombreCompleto}</w:t>
      </w:r>
      <w:r>
        <w:rPr/>
        <w:t xml:space="preserve">, identificado/a con Documento Personal de Identificación, Código Único de Identificación </w:t>
      </w:r>
      <w:sdt>
        <w:sdtPr>
          <w:tag w:val="goog_rdk_1"/>
          <w:id w:val="-1248005647"/>
        </w:sdtPr>
        <w:sdtContent>
          <w:r>
            <w:rPr/>
          </w:r>
          <w:r>
            <w:rPr/>
          </w:r>
        </w:sdtContent>
      </w:sdt>
      <w:r>
        <w:rPr/>
        <w:t>{dpiTexto}</w:t>
      </w:r>
      <w:r>
        <w:rPr/>
        <w:t xml:space="preserve">, extendido por el Registro Nacional de las Personas —RENAP—, quien actúa en nombre propio (en adelante </w:t>
      </w:r>
      <w:r>
        <w:rPr>
          <w:b/>
          <w:bCs/>
          <w:color w:val="5B4FCF"/>
        </w:rPr>
        <w:t>"el Inversionista"</w:t>
      </w:r>
      <w:r>
        <w:rPr/>
        <w:t>).</w:t>
      </w:r>
    </w:p>
    <w:p>
      <w:pPr>
        <w:pStyle w:val="normal1"/>
        <w:spacing w:lineRule="auto" w:line="360"/>
        <w:jc w:val="both"/>
        <w:rPr/>
      </w:pPr>
      <w:r>
        <w:rPr/>
      </w:r>
    </w:p>
    <w:p>
      <w:pPr>
        <w:pStyle w:val="normal1"/>
        <w:spacing w:lineRule="auto" w:line="360"/>
        <w:jc w:val="both"/>
        <w:rPr/>
      </w:pPr>
      <w:r>
        <w:rPr/>
        <w:t>Ambas partes, en el libre ejercicio de nuestros derechos civiles, suscribimos el presente Contrato de Inversión y Administración de Cartera, que se regirá por las siguientes cláusulas:</w:t>
      </w:r>
    </w:p>
    <w:p>
      <w:pPr>
        <w:pStyle w:val="normal1"/>
        <w:spacing w:lineRule="auto" w:line="360"/>
        <w:jc w:val="both"/>
        <w:rPr/>
      </w:pPr>
      <w:r>
        <w:rPr/>
      </w:r>
    </w:p>
    <w:tbl>
      <w:tblPr>
        <w:tblStyle w:val="Table2"/>
        <w:tblW w:w="9720" w:type="dxa"/>
        <w:jc w:val="start"/>
        <w:tblInd w:w="0" w:type="dxa"/>
        <w:tblLayout w:type="fixed"/>
        <w:tblCellMar>
          <w:top w:w="140" w:type="dxa"/>
          <w:start w:w="280" w:type="dxa"/>
          <w:bottom w:w="140" w:type="dxa"/>
          <w:end w:w="280" w:type="dxa"/>
        </w:tblCellMar>
        <w:tblLook w:val="0400"/>
      </w:tblPr>
      <w:tblGrid>
        <w:gridCol w:w="9720"/>
      </w:tblGrid>
      <w:tr>
        <w:trPr/>
        <w:tc>
          <w:tcPr>
            <w:tcW w:w="9720" w:type="dxa"/>
            <w:tcBorders/>
            <w:shd w:fill="4436C8" w:val="clear"/>
          </w:tcPr>
          <w:p>
            <w:pPr>
              <w:pStyle w:val="normal1"/>
              <w:spacing w:lineRule="auto" w:line="360"/>
              <w:jc w:val="both"/>
              <w:rPr/>
            </w:pPr>
            <w:r>
              <w:rPr>
                <w:b/>
                <w:bCs/>
                <w:color w:val="FFFFFF"/>
              </w:rPr>
              <w:t>PRIMERA — Declaraciones del Inversionista: Origen lícito de fondos y cumplimiento AML/CFT</w:t>
            </w:r>
          </w:p>
        </w:tc>
      </w:tr>
    </w:tbl>
    <w:p>
      <w:pPr>
        <w:pStyle w:val="normal1"/>
        <w:spacing w:lineRule="auto" w:line="360"/>
        <w:jc w:val="both"/>
        <w:rPr/>
      </w:pPr>
      <w:r>
        <w:rPr/>
      </w:r>
    </w:p>
    <w:p>
      <w:pPr>
        <w:pStyle w:val="normal1"/>
        <w:spacing w:lineRule="auto" w:line="360"/>
        <w:jc w:val="both"/>
        <w:rPr/>
      </w:pPr>
      <w:r>
        <w:rPr/>
        <w:t>El Inversionista declara y garantiza que:</w:t>
      </w:r>
    </w:p>
    <w:p>
      <w:pPr>
        <w:pStyle w:val="normal1"/>
        <w:keepNext w:val="false"/>
        <w:keepLines w:val="false"/>
        <w:pageBreakBefore w:val="false"/>
        <w:widowControl/>
        <w:numPr>
          <w:ilvl w:val="0"/>
          <w:numId w:val="1"/>
        </w:numPr>
        <w:shd w:val="clear" w:fill="auto"/>
        <w:spacing w:lineRule="auto" w:line="360" w:before="0" w:after="0"/>
        <w:ind w:hanging="240" w:start="480" w:end="0"/>
        <w:jc w:val="both"/>
        <w:rPr/>
      </w:pPr>
      <w:r>
        <w:rPr>
          <w:rFonts w:eastAsia="Arial" w:cs="Arial"/>
          <w:b w:val="false"/>
          <w:bCs w:val="false"/>
          <w:i w:val="false"/>
          <w:iCs w:val="false"/>
          <w:caps w:val="false"/>
          <w:smallCaps w:val="false"/>
          <w:strike w:val="false"/>
          <w:dstrike w:val="false"/>
          <w:color w:val="1E1E3A"/>
          <w:position w:val="0"/>
          <w:sz w:val="20"/>
          <w:szCs w:val="20"/>
          <w:u w:val="none"/>
          <w:shd w:fill="auto" w:val="clear"/>
          <w:vertAlign w:val="baseline"/>
        </w:rPr>
        <w:t>Todos los fondos que entregue a través de la Plataforma CASH IN tienen origen lícito y no provienen ni se relacionan, directa o indirectamente, con actividades de lavado de dinero, financiamiento del terrorismo, crimen organizado, corrupción, fraude, extorsión, narcotráfico u otras actividades ilícitas.</w:t>
      </w:r>
    </w:p>
    <w:p>
      <w:pPr>
        <w:pStyle w:val="normal1"/>
        <w:keepNext w:val="false"/>
        <w:keepLines w:val="false"/>
        <w:pageBreakBefore w:val="false"/>
        <w:widowControl/>
        <w:numPr>
          <w:ilvl w:val="0"/>
          <w:numId w:val="1"/>
        </w:numPr>
        <w:shd w:val="clear" w:fill="auto"/>
        <w:spacing w:lineRule="auto" w:line="360" w:before="0" w:after="0"/>
        <w:ind w:hanging="240" w:start="480" w:end="0"/>
        <w:jc w:val="both"/>
        <w:rPr/>
      </w:pPr>
      <w:r>
        <w:rPr>
          <w:rFonts w:eastAsia="Arial" w:cs="Arial"/>
          <w:b w:val="false"/>
          <w:bCs w:val="false"/>
          <w:i w:val="false"/>
          <w:iCs w:val="false"/>
          <w:caps w:val="false"/>
          <w:smallCaps w:val="false"/>
          <w:strike w:val="false"/>
          <w:dstrike w:val="false"/>
          <w:color w:val="1E1E3A"/>
          <w:position w:val="0"/>
          <w:sz w:val="20"/>
          <w:szCs w:val="20"/>
          <w:u w:val="none"/>
          <w:shd w:fill="auto" w:val="clear"/>
          <w:vertAlign w:val="baseline"/>
        </w:rPr>
        <w:t>Actúa por cuenta propia y no en nombre de terceros no revelados. Ha informado a Cube la identidad de sus beneficiarios finales y se compromete a mantener dicha información veraz, completa y actualizada.</w:t>
      </w:r>
    </w:p>
    <w:p>
      <w:pPr>
        <w:pStyle w:val="normal1"/>
        <w:keepNext w:val="false"/>
        <w:keepLines w:val="false"/>
        <w:pageBreakBefore w:val="false"/>
        <w:widowControl/>
        <w:numPr>
          <w:ilvl w:val="0"/>
          <w:numId w:val="1"/>
        </w:numPr>
        <w:shd w:val="clear" w:fill="auto"/>
        <w:spacing w:lineRule="auto" w:line="360" w:before="0" w:after="0"/>
        <w:ind w:hanging="240" w:start="480" w:end="0"/>
        <w:jc w:val="both"/>
        <w:rPr/>
      </w:pPr>
      <w:r>
        <w:rPr>
          <w:rFonts w:eastAsia="Arial" w:cs="Arial"/>
          <w:b w:val="false"/>
          <w:bCs w:val="false"/>
          <w:i w:val="false"/>
          <w:iCs w:val="false"/>
          <w:caps w:val="false"/>
          <w:smallCaps w:val="false"/>
          <w:strike w:val="false"/>
          <w:dstrike w:val="false"/>
          <w:color w:val="1E1E3A"/>
          <w:position w:val="0"/>
          <w:sz w:val="20"/>
          <w:szCs w:val="20"/>
          <w:u w:val="none"/>
          <w:shd w:fill="auto" w:val="clear"/>
          <w:vertAlign w:val="baseline"/>
        </w:rPr>
        <w:t>Ni él ni sus beneficiarios finales, directores o administradores se encuentran incluidos en listas de sanciones nacionales o internacionales, incluyendo ONU, OFAC, Unión Europea u otras equivalentes.</w:t>
      </w:r>
    </w:p>
    <w:p>
      <w:pPr>
        <w:pStyle w:val="normal1"/>
        <w:keepNext w:val="false"/>
        <w:keepLines w:val="false"/>
        <w:pageBreakBefore w:val="false"/>
        <w:widowControl/>
        <w:numPr>
          <w:ilvl w:val="0"/>
          <w:numId w:val="1"/>
        </w:numPr>
        <w:shd w:val="clear" w:fill="auto"/>
        <w:spacing w:lineRule="auto" w:line="360" w:before="0" w:after="0"/>
        <w:ind w:hanging="240" w:start="480" w:end="0"/>
        <w:jc w:val="both"/>
        <w:rPr/>
      </w:pPr>
      <w:r>
        <w:rPr>
          <w:rFonts w:eastAsia="Arial" w:cs="Arial"/>
          <w:b w:val="false"/>
          <w:bCs w:val="false"/>
          <w:i w:val="false"/>
          <w:iCs w:val="false"/>
          <w:caps w:val="false"/>
          <w:smallCaps w:val="false"/>
          <w:strike w:val="false"/>
          <w:dstrike w:val="false"/>
          <w:color w:val="1E1E3A"/>
          <w:position w:val="0"/>
          <w:sz w:val="20"/>
          <w:szCs w:val="20"/>
          <w:u w:val="none"/>
          <w:shd w:fill="auto" w:val="clear"/>
          <w:vertAlign w:val="baseline"/>
        </w:rPr>
        <w:t>Proporcionará oportunamente toda la documentación de Conozca a su Cliente —KYC— que Cube le requiera, autorizando la verificación de dichos datos, incluyendo consultas a proveedores externos y bases de datos públicas.</w:t>
      </w:r>
    </w:p>
    <w:p>
      <w:pPr>
        <w:pStyle w:val="normal1"/>
        <w:spacing w:lineRule="auto" w:line="360"/>
        <w:jc w:val="both"/>
        <w:rPr/>
      </w:pPr>
      <w:r>
        <w:rPr/>
      </w:r>
    </w:p>
    <w:p>
      <w:pPr>
        <w:pStyle w:val="normal1"/>
        <w:spacing w:lineRule="auto" w:line="360"/>
        <w:jc w:val="both"/>
        <w:rPr/>
      </w:pPr>
      <w:r>
        <w:rPr/>
        <w:t>El Inversionista mantendrá indemne a Cube por daños, costos o sanciones derivados de la falsedad u omisión en las declaraciones anteriores. Cube podrá rechazar fondos, suspender operaciones o reportar a las autoridades competentes si, a su criterio razonable, surgen señales de alerta respecto al cumplimiento de esta cláusula, sin que ello constituya incumplimiento de ninguna obligación contractual.</w:t>
      </w:r>
    </w:p>
    <w:p>
      <w:pPr>
        <w:pStyle w:val="normal1"/>
        <w:spacing w:lineRule="auto" w:line="360"/>
        <w:jc w:val="both"/>
        <w:rPr/>
      </w:pPr>
      <w:r>
        <w:rPr/>
      </w:r>
    </w:p>
    <w:tbl>
      <w:tblPr>
        <w:tblStyle w:val="Table3"/>
        <w:tblW w:w="9720" w:type="dxa"/>
        <w:jc w:val="start"/>
        <w:tblInd w:w="0" w:type="dxa"/>
        <w:tblLayout w:type="fixed"/>
        <w:tblCellMar>
          <w:top w:w="140" w:type="dxa"/>
          <w:start w:w="280" w:type="dxa"/>
          <w:bottom w:w="140" w:type="dxa"/>
          <w:end w:w="280" w:type="dxa"/>
        </w:tblCellMar>
        <w:tblLook w:val="0400"/>
      </w:tblPr>
      <w:tblGrid>
        <w:gridCol w:w="9720"/>
      </w:tblGrid>
      <w:tr>
        <w:trPr/>
        <w:tc>
          <w:tcPr>
            <w:tcW w:w="9720" w:type="dxa"/>
            <w:tcBorders/>
            <w:shd w:fill="4436C8" w:val="clear"/>
          </w:tcPr>
          <w:p>
            <w:pPr>
              <w:pStyle w:val="normal1"/>
              <w:spacing w:lineRule="auto" w:line="360"/>
              <w:jc w:val="both"/>
              <w:rPr/>
            </w:pPr>
            <w:r>
              <w:rPr>
                <w:b/>
                <w:bCs/>
                <w:color w:val="FFFFFF"/>
              </w:rPr>
              <w:t>SEGUNDA — Objeto del contrato</w:t>
            </w:r>
          </w:p>
        </w:tc>
      </w:tr>
    </w:tbl>
    <w:p>
      <w:pPr>
        <w:pStyle w:val="normal1"/>
        <w:spacing w:lineRule="auto" w:line="360"/>
        <w:jc w:val="both"/>
        <w:rPr/>
      </w:pPr>
      <w:r>
        <w:rPr/>
      </w:r>
    </w:p>
    <w:p>
      <w:pPr>
        <w:pStyle w:val="normal1"/>
        <w:spacing w:lineRule="auto" w:line="360"/>
        <w:jc w:val="both"/>
        <w:rPr/>
      </w:pPr>
      <w:r>
        <w:rPr/>
        <w:t>Por medio del presente Contrato, las partes acuerdan el marco bajo el cual el Inversionista participará en la Plataforma CASH IN, y Cube prestará los servicios de administración de cartera, recepción de pagos por cuenta de terceros y gestión de cobranza sobre las inversiones que el Inversionista realice.</w:t>
      </w:r>
    </w:p>
    <w:p>
      <w:pPr>
        <w:pStyle w:val="normal1"/>
        <w:spacing w:lineRule="auto" w:line="360"/>
        <w:jc w:val="both"/>
        <w:rPr/>
      </w:pPr>
      <w:r>
        <w:rPr/>
      </w:r>
    </w:p>
    <w:p>
      <w:pPr>
        <w:pStyle w:val="normal1"/>
        <w:spacing w:lineRule="auto" w:line="360"/>
        <w:jc w:val="both"/>
        <w:rPr/>
      </w:pPr>
      <w:r>
        <w:rPr/>
        <w:t>Cube actúa en todo momento como administrador, receptor de pagos por cuenta de tercero y agente de cobranza — no como intermediario financiero ni como captador de depósitos del público. Las obligaciones de Cube derivadas del presente Contrato son de medio y no de resultado.</w:t>
      </w:r>
    </w:p>
    <w:p>
      <w:pPr>
        <w:pStyle w:val="normal1"/>
        <w:spacing w:lineRule="auto" w:line="360"/>
        <w:jc w:val="both"/>
        <w:rPr/>
      </w:pPr>
      <w:r>
        <w:rPr/>
      </w:r>
    </w:p>
    <w:tbl>
      <w:tblPr>
        <w:tblStyle w:val="Table4"/>
        <w:tblW w:w="9720" w:type="dxa"/>
        <w:jc w:val="start"/>
        <w:tblInd w:w="0" w:type="dxa"/>
        <w:tblLayout w:type="fixed"/>
        <w:tblCellMar>
          <w:top w:w="140" w:type="dxa"/>
          <w:start w:w="280" w:type="dxa"/>
          <w:bottom w:w="140" w:type="dxa"/>
          <w:end w:w="280" w:type="dxa"/>
        </w:tblCellMar>
        <w:tblLook w:val="0400"/>
      </w:tblPr>
      <w:tblGrid>
        <w:gridCol w:w="9720"/>
      </w:tblGrid>
      <w:tr>
        <w:trPr/>
        <w:tc>
          <w:tcPr>
            <w:tcW w:w="9720" w:type="dxa"/>
            <w:tcBorders/>
            <w:shd w:fill="4436C8" w:val="clear"/>
          </w:tcPr>
          <w:p>
            <w:pPr>
              <w:pStyle w:val="normal1"/>
              <w:spacing w:lineRule="auto" w:line="360"/>
              <w:jc w:val="both"/>
              <w:rPr/>
            </w:pPr>
            <w:r>
              <w:rPr>
                <w:b/>
                <w:bCs/>
                <w:color w:val="FFFFFF"/>
              </w:rPr>
              <w:t>TERCERA — La plataforma y el proceso de inversión</w:t>
            </w:r>
          </w:p>
        </w:tc>
      </w:tr>
    </w:tbl>
    <w:p>
      <w:pPr>
        <w:pStyle w:val="normal1"/>
        <w:spacing w:lineRule="auto" w:line="360"/>
        <w:jc w:val="both"/>
        <w:rPr/>
      </w:pPr>
      <w:r>
        <w:rPr/>
      </w:r>
    </w:p>
    <w:p>
      <w:pPr>
        <w:pStyle w:val="normal1"/>
        <w:spacing w:lineRule="auto" w:line="360"/>
        <w:ind w:hanging="0" w:start="200"/>
        <w:jc w:val="both"/>
        <w:rPr/>
      </w:pPr>
      <w:r>
        <w:rPr>
          <w:b/>
          <w:bCs/>
          <w:color w:val="5B4FCF"/>
        </w:rPr>
        <w:t xml:space="preserve">a)  </w:t>
      </w:r>
      <w:r>
        <w:rPr>
          <w:b/>
          <w:bCs/>
        </w:rPr>
        <w:t>La Plataforma CASH IN</w:t>
      </w:r>
    </w:p>
    <w:p>
      <w:pPr>
        <w:pStyle w:val="normal1"/>
        <w:spacing w:lineRule="auto" w:line="360"/>
        <w:jc w:val="both"/>
        <w:rPr/>
      </w:pPr>
      <w:r>
        <w:rPr/>
        <w:t>Cube pone a disposición del Inversionista la Plataforma digital CASH IN, a través de la cual podrá conocer, evaluar y seleccionar oportunidades de inversión. Las oportunidades también podrán ser presentadas directamente por el ejecutivo de cuenta asignado al Inversionista, quien realizará el análisis crediticio previo y la recomendación correspondiente. La decisión final de invertir es siempre del Inversionista.</w:t>
      </w:r>
    </w:p>
    <w:p>
      <w:pPr>
        <w:pStyle w:val="normal1"/>
        <w:spacing w:lineRule="auto" w:line="360"/>
        <w:jc w:val="both"/>
        <w:rPr/>
      </w:pPr>
      <w:r>
        <w:rPr/>
      </w:r>
    </w:p>
    <w:p>
      <w:pPr>
        <w:pStyle w:val="normal1"/>
        <w:spacing w:lineRule="auto" w:line="360"/>
        <w:ind w:hanging="0" w:start="200"/>
        <w:jc w:val="both"/>
        <w:rPr>
          <w:b/>
          <w:bCs/>
        </w:rPr>
      </w:pPr>
      <w:r>
        <w:rPr>
          <w:b/>
          <w:bCs/>
          <w:color w:val="5B4FCF"/>
        </w:rPr>
        <w:t xml:space="preserve">b)  </w:t>
      </w:r>
      <w:r>
        <w:rPr>
          <w:b/>
          <w:bCs/>
        </w:rPr>
        <w:t>Modalidades y forma de participación</w:t>
      </w:r>
    </w:p>
    <w:p>
      <w:pPr>
        <w:pStyle w:val="normal1"/>
        <w:spacing w:lineRule="auto" w:line="360"/>
        <w:ind w:hanging="0" w:start="200"/>
        <w:jc w:val="both"/>
        <w:rPr/>
      </w:pPr>
      <w:r>
        <w:rPr>
          <w:b/>
          <w:bCs/>
        </w:rPr>
        <w:t>Modalidades de retorno</w:t>
      </w:r>
    </w:p>
    <w:p>
      <w:pPr>
        <w:pStyle w:val="normal1"/>
        <w:spacing w:lineRule="auto" w:line="360"/>
        <w:ind w:hanging="0" w:start="200"/>
        <w:jc w:val="both"/>
        <w:rPr/>
      </w:pPr>
      <w:r>
        <w:rPr/>
        <w:t>El Inversionista podrá elegir, al momento de cada inversión, la modalidad bajo la cual recibirá sus retornos:</w:t>
      </w:r>
    </w:p>
    <w:p>
      <w:pPr>
        <w:pStyle w:val="normal1"/>
        <w:spacing w:lineRule="auto" w:line="360"/>
        <w:ind w:hanging="0" w:start="200"/>
        <w:jc w:val="both"/>
        <w:rPr/>
      </w:pPr>
      <w:r>
        <w:rPr/>
        <w:t xml:space="preserve">i) </w:t>
      </w:r>
      <w:r>
        <w:rPr>
          <w:b/>
          <w:bCs/>
        </w:rPr>
        <w:t>Tradicional</w:t>
      </w:r>
      <w:r>
        <w:rPr/>
        <w:t xml:space="preserve"> — el Inversionista recibe mensualmente su proporción de capital e intereses conforme a la tasa pactada.</w:t>
      </w:r>
    </w:p>
    <w:p>
      <w:pPr>
        <w:pStyle w:val="normal1"/>
        <w:spacing w:lineRule="auto" w:line="360"/>
        <w:ind w:hanging="0" w:start="200"/>
        <w:jc w:val="both"/>
        <w:rPr/>
      </w:pPr>
      <w:r>
        <w:rPr/>
        <w:t xml:space="preserve">ii) </w:t>
      </w:r>
      <w:r>
        <w:rPr>
          <w:b/>
          <w:bCs/>
        </w:rPr>
        <w:t>Reinversión de capital</w:t>
      </w:r>
      <w:r>
        <w:rPr/>
        <w:t xml:space="preserve"> — el capital recuperado mensualmente se reinvierte automáticamente en nuevas oportunidades, recibiendo el Inversionista únicamente los intereses generados.</w:t>
      </w:r>
    </w:p>
    <w:p>
      <w:pPr>
        <w:pStyle w:val="normal1"/>
        <w:spacing w:lineRule="auto" w:line="360"/>
        <w:ind w:hanging="0" w:start="200"/>
        <w:jc w:val="both"/>
        <w:rPr/>
      </w:pPr>
      <w:r>
        <w:rPr/>
        <w:t xml:space="preserve">iv) </w:t>
      </w:r>
      <w:r>
        <w:rPr>
          <w:b/>
          <w:bCs/>
        </w:rPr>
        <w:t>Reinversión total (Interés compuesto)</w:t>
      </w:r>
      <w:r>
        <w:rPr/>
        <w:t xml:space="preserve"> — tanto el capital recuperado como los intereses generados se reinvierten automáticamente, acumulándose en la cartera del Inversionista conforme a sus instrucciones.</w:t>
      </w:r>
    </w:p>
    <w:p>
      <w:pPr>
        <w:pStyle w:val="normal1"/>
        <w:spacing w:lineRule="auto" w:line="360"/>
        <w:ind w:hanging="0" w:start="200"/>
        <w:jc w:val="both"/>
        <w:rPr/>
      </w:pPr>
      <w:r>
        <w:rPr/>
        <w:t>La modalidad elegida quedará consignada en el anexo de solicitud inicial correspondiente y podrá modificarse mediante instrucción escrita del Inversionista con al menos quince días de anticipación a la siguiente liquidación.</w:t>
      </w:r>
    </w:p>
    <w:p>
      <w:pPr>
        <w:pStyle w:val="normal1"/>
        <w:spacing w:lineRule="auto" w:line="360"/>
        <w:ind w:hanging="0" w:start="200"/>
        <w:jc w:val="both"/>
        <w:rPr>
          <w:b/>
          <w:bCs/>
        </w:rPr>
      </w:pPr>
      <w:r>
        <w:rPr>
          <w:b/>
          <w:bCs/>
        </w:rPr>
      </w:r>
    </w:p>
    <w:p>
      <w:pPr>
        <w:pStyle w:val="normal1"/>
        <w:spacing w:lineRule="auto" w:line="360"/>
        <w:ind w:hanging="0" w:start="200"/>
        <w:jc w:val="both"/>
        <w:rPr/>
      </w:pPr>
      <w:r>
        <w:rPr>
          <w:b/>
          <w:bCs/>
        </w:rPr>
        <w:t>Compra de cartera</w:t>
      </w:r>
    </w:p>
    <w:p>
      <w:pPr>
        <w:pStyle w:val="normal1"/>
        <w:spacing w:lineRule="auto" w:line="360"/>
        <w:ind w:hanging="0" w:start="200"/>
        <w:jc w:val="both"/>
        <w:rPr/>
      </w:pPr>
      <w:r>
        <w:rPr/>
        <w:t>El Inversionista podrá participar mediante la adquisición de un bloque de créditos activos ya vigentes dentro de la cartera de Cube. Los créditos objeto de la compra se recibirán en el estado en que se encuentren al momento de la transacción, incluyendo las garantías mobiliarias previamente constituidas sobre los activos subyacentes.</w:t>
      </w:r>
    </w:p>
    <w:p>
      <w:pPr>
        <w:pStyle w:val="normal1"/>
        <w:spacing w:lineRule="auto" w:line="360"/>
        <w:ind w:hanging="0" w:start="200"/>
        <w:jc w:val="both"/>
        <w:rPr/>
      </w:pPr>
      <w:r>
        <w:rPr/>
        <w:t>El Inversionista declara aceptar los créditos adquiridos en las condiciones descritas, sin que exista obligación de Cube de subrogarlos, novarlos o reconstituir garantías a su favor.</w:t>
      </w:r>
    </w:p>
    <w:p>
      <w:pPr>
        <w:pStyle w:val="normal1"/>
        <w:spacing w:lineRule="auto" w:line="360"/>
        <w:jc w:val="both"/>
        <w:rPr/>
      </w:pPr>
      <w:r>
        <w:rPr/>
      </w:r>
    </w:p>
    <w:p>
      <w:pPr>
        <w:pStyle w:val="normal1"/>
        <w:spacing w:lineRule="auto" w:line="360"/>
        <w:ind w:hanging="0" w:start="200"/>
        <w:jc w:val="both"/>
        <w:rPr/>
      </w:pPr>
      <w:r>
        <w:rPr>
          <w:b/>
          <w:bCs/>
          <w:color w:val="5B4FCF"/>
        </w:rPr>
        <w:t xml:space="preserve">c)  </w:t>
      </w:r>
      <w:r>
        <w:rPr>
          <w:b/>
          <w:bCs/>
        </w:rPr>
        <w:t>Monto inicial y reinversión</w:t>
      </w:r>
    </w:p>
    <w:p>
      <w:pPr>
        <w:pStyle w:val="normal1"/>
        <w:spacing w:lineRule="auto" w:line="360"/>
        <w:jc w:val="both"/>
        <w:rPr/>
      </w:pPr>
      <w:r>
        <w:rPr/>
        <w:t>El monto inicial que el Inversionista decida aportar constará en la carta suscrita por el propio Inversionista que se adjuntará como Anexo 1. El Inversionista podrá instruir a Cube la reinversión total o parcial de sus retornos mediante instrucción escrita. La reinversión no será automática salvo instrucción expresa.</w:t>
      </w:r>
    </w:p>
    <w:p>
      <w:pPr>
        <w:pStyle w:val="normal1"/>
        <w:spacing w:lineRule="auto" w:line="360"/>
        <w:jc w:val="both"/>
        <w:rPr/>
      </w:pPr>
      <w:r>
        <w:rPr/>
      </w:r>
    </w:p>
    <w:tbl>
      <w:tblPr>
        <w:tblStyle w:val="Table5"/>
        <w:tblW w:w="9720" w:type="dxa"/>
        <w:jc w:val="start"/>
        <w:tblInd w:w="0" w:type="dxa"/>
        <w:tblLayout w:type="fixed"/>
        <w:tblCellMar>
          <w:top w:w="140" w:type="dxa"/>
          <w:start w:w="280" w:type="dxa"/>
          <w:bottom w:w="140" w:type="dxa"/>
          <w:end w:w="280" w:type="dxa"/>
        </w:tblCellMar>
        <w:tblLook w:val="0400"/>
      </w:tblPr>
      <w:tblGrid>
        <w:gridCol w:w="9720"/>
      </w:tblGrid>
      <w:tr>
        <w:trPr/>
        <w:tc>
          <w:tcPr>
            <w:tcW w:w="9720" w:type="dxa"/>
            <w:tcBorders/>
            <w:shd w:fill="4436C8" w:val="clear"/>
          </w:tcPr>
          <w:p>
            <w:pPr>
              <w:pStyle w:val="normal1"/>
              <w:spacing w:lineRule="auto" w:line="360"/>
              <w:jc w:val="both"/>
              <w:rPr/>
            </w:pPr>
            <w:r>
              <w:rPr>
                <w:b/>
                <w:bCs/>
                <w:color w:val="FFFFFF"/>
              </w:rPr>
              <w:t>CUARTA — Mecanismo de protección del activo</w:t>
            </w:r>
          </w:p>
        </w:tc>
      </w:tr>
    </w:tbl>
    <w:p>
      <w:pPr>
        <w:pStyle w:val="normal1"/>
        <w:spacing w:lineRule="auto" w:line="360"/>
        <w:jc w:val="both"/>
        <w:rPr/>
      </w:pPr>
      <w:r>
        <w:rPr/>
      </w:r>
    </w:p>
    <w:p>
      <w:pPr>
        <w:pStyle w:val="normal1"/>
        <w:spacing w:lineRule="auto" w:line="360"/>
        <w:jc w:val="both"/>
        <w:rPr/>
      </w:pPr>
      <w:r>
        <w:rPr/>
        <w:t>Cada vehículo financiado con fondos del Inversionista queda protegido mediante el siguiente mecanismo integral, que Cube mantiene en beneficio de la cartera que administra:</w:t>
      </w:r>
    </w:p>
    <w:p>
      <w:pPr>
        <w:pStyle w:val="normal1"/>
        <w:spacing w:lineRule="auto" w:line="360"/>
        <w:jc w:val="both"/>
        <w:rPr/>
      </w:pPr>
      <w:r>
        <w:rPr/>
      </w:r>
    </w:p>
    <w:p>
      <w:pPr>
        <w:pStyle w:val="normal1"/>
        <w:spacing w:lineRule="auto" w:line="360"/>
        <w:ind w:hanging="0" w:start="200"/>
        <w:jc w:val="both"/>
        <w:rPr/>
      </w:pPr>
      <w:r>
        <w:rPr>
          <w:b/>
          <w:bCs/>
          <w:color w:val="5B4FCF"/>
        </w:rPr>
        <w:t xml:space="preserve">a)  </w:t>
      </w:r>
      <w:r>
        <w:rPr>
          <w:b/>
          <w:bCs/>
        </w:rPr>
        <w:t>Titularidad registral</w:t>
      </w:r>
    </w:p>
    <w:p>
      <w:pPr>
        <w:pStyle w:val="normal1"/>
        <w:spacing w:lineRule="auto" w:line="360"/>
        <w:jc w:val="both"/>
        <w:rPr/>
      </w:pPr>
      <w:r>
        <w:rPr/>
        <w:t>Los vehículos son adquiridos y mantenidos bajo titularidad registral de RDBE, Sociedad Anónima, entidad vinculada a Cube, durante todo el plazo del financiamiento. El deudor recibe exclusivamente un contrato de uso por dicho plazo, sin adquirir en ningún momento titularidad ni facultad de disposición sobre el bien.</w:t>
      </w:r>
    </w:p>
    <w:p>
      <w:pPr>
        <w:pStyle w:val="normal1"/>
        <w:spacing w:lineRule="auto" w:line="360"/>
        <w:jc w:val="both"/>
        <w:rPr/>
      </w:pPr>
      <w:r>
        <w:rPr/>
      </w:r>
    </w:p>
    <w:p>
      <w:pPr>
        <w:pStyle w:val="normal1"/>
        <w:spacing w:lineRule="auto" w:line="360"/>
        <w:ind w:hanging="0" w:start="200"/>
        <w:jc w:val="both"/>
        <w:rPr/>
      </w:pPr>
      <w:r>
        <w:rPr>
          <w:b/>
          <w:bCs/>
          <w:color w:val="5B4FCF"/>
        </w:rPr>
        <w:t xml:space="preserve">b)  </w:t>
      </w:r>
      <w:r>
        <w:rPr>
          <w:b/>
          <w:bCs/>
        </w:rPr>
        <w:t>Garantía mobiliaria inscrita</w:t>
      </w:r>
    </w:p>
    <w:p>
      <w:pPr>
        <w:pStyle w:val="normal1"/>
        <w:spacing w:lineRule="auto" w:line="360"/>
        <w:jc w:val="both"/>
        <w:rPr/>
      </w:pPr>
      <w:r>
        <w:rPr/>
        <w:t>Sobre cada vehículo financiado se constituye e inscribe una garantía mobiliaria en el Registro de Garantías Mobiliarias de Guatemala. Esta inscripción es pública y verificable, e impide cualquier transferencia, venta o disposición del bien a terceros de buena fe durante la vigencia del financiamiento.</w:t>
      </w:r>
    </w:p>
    <w:p>
      <w:pPr>
        <w:pStyle w:val="normal1"/>
        <w:spacing w:lineRule="auto" w:line="360"/>
        <w:jc w:val="both"/>
        <w:rPr/>
      </w:pPr>
      <w:r>
        <w:rPr/>
      </w:r>
    </w:p>
    <w:p>
      <w:pPr>
        <w:pStyle w:val="normal1"/>
        <w:spacing w:lineRule="auto" w:line="360"/>
        <w:ind w:hanging="0" w:start="200"/>
        <w:jc w:val="both"/>
        <w:rPr/>
      </w:pPr>
      <w:r>
        <w:rPr>
          <w:b/>
          <w:bCs/>
          <w:color w:val="5B4FCF"/>
        </w:rPr>
        <w:t xml:space="preserve">c)  </w:t>
      </w:r>
      <w:r>
        <w:rPr>
          <w:b/>
          <w:bCs/>
        </w:rPr>
        <w:t>Control efectivo del activo</w:t>
      </w:r>
    </w:p>
    <w:p>
      <w:pPr>
        <w:pStyle w:val="normal1"/>
        <w:spacing w:lineRule="auto" w:line="360"/>
        <w:jc w:val="both"/>
        <w:rPr/>
      </w:pPr>
      <w:r>
        <w:rPr/>
        <w:t>La combinación de titularidad registral en RDBE y garantía mobiliaria inscrita otorga a Cube un control efectivo y verificable sobre cada vehículo financiado. Esta estructura es más robusta que una garantía directa a favor del Inversionista individual, ya que elimina desde el origen la posibilidad de que el deudor disponga del bien sin autorización de Cube.</w:t>
      </w:r>
    </w:p>
    <w:p>
      <w:pPr>
        <w:pStyle w:val="normal1"/>
        <w:spacing w:lineRule="auto" w:line="360"/>
        <w:jc w:val="both"/>
        <w:rPr/>
      </w:pPr>
      <w:r>
        <w:rPr/>
      </w:r>
    </w:p>
    <w:p>
      <w:pPr>
        <w:pStyle w:val="normal1"/>
        <w:spacing w:lineRule="auto" w:line="360"/>
        <w:ind w:hanging="0" w:start="200"/>
        <w:jc w:val="both"/>
        <w:rPr/>
      </w:pPr>
      <w:r>
        <w:rPr>
          <w:b/>
          <w:bCs/>
          <w:color w:val="5B4FCF"/>
        </w:rPr>
        <w:t xml:space="preserve">d)  </w:t>
      </w:r>
      <w:r>
        <w:rPr>
          <w:b/>
          <w:bCs/>
        </w:rPr>
        <w:t>Gestión ante mora</w:t>
      </w:r>
    </w:p>
    <w:p>
      <w:pPr>
        <w:pStyle w:val="normal1"/>
        <w:spacing w:lineRule="auto" w:line="360"/>
        <w:jc w:val="both"/>
        <w:rPr/>
      </w:pPr>
      <w:r>
        <w:rPr/>
        <w:t>Si una inversión incurre en mora por más de dos meses, será considerada inversión en recuperación, activándose el protocolo de gestión activa de cartera de Cube.</w:t>
      </w:r>
    </w:p>
    <w:p>
      <w:pPr>
        <w:pStyle w:val="normal1"/>
        <w:spacing w:lineRule="auto" w:line="360"/>
        <w:jc w:val="both"/>
        <w:rPr/>
      </w:pPr>
      <w:r>
        <w:rPr/>
        <w:t xml:space="preserve">Como regla general, y cuando sea posible, de contar con un crédito equivalente, Cube sustituirá la inversión en mora por otro crédito activo equivalente antes de que dicha mora se refleje en la liquidación del Inversionista, manteniéndose el flujo normal de liquidaciones sin interrupción. </w:t>
      </w:r>
    </w:p>
    <w:p>
      <w:pPr>
        <w:pStyle w:val="normal1"/>
        <w:spacing w:lineRule="auto" w:line="360"/>
        <w:jc w:val="both"/>
        <w:rPr/>
      </w:pPr>
      <w:r>
        <w:rPr/>
        <w:t>Esta sustitución opera de forma preventiva, de modo que en condiciones normales de operación el Inversionista no percibirá afectación en sus retornos por mora de deudores individuales.</w:t>
      </w:r>
    </w:p>
    <w:p>
      <w:pPr>
        <w:pStyle w:val="normal1"/>
        <w:spacing w:lineRule="auto" w:line="360"/>
        <w:jc w:val="both"/>
        <w:rPr/>
      </w:pPr>
      <w:r>
        <w:rPr/>
        <w:t xml:space="preserve">Únicamente cuando Cube no disponga de cartera vigente al día suficiente para realizar la sustitución, la inversión en mora se reflejará en la liquidación mensual del Inversionista como saldo pendiente de recuperación. </w:t>
      </w:r>
    </w:p>
    <w:p>
      <w:pPr>
        <w:pStyle w:val="normal1"/>
        <w:spacing w:lineRule="auto" w:line="360"/>
        <w:jc w:val="both"/>
        <w:rPr/>
      </w:pPr>
      <w:r>
        <w:rPr/>
        <w:t>En este supuesto, Cube asumirá la gestión del proceso de recuperación, incluyendo gestiones extrajudiciales, judiciales y ejecución de garantías mobiliarias, sin costo adicional para el Inversionista.</w:t>
      </w:r>
    </w:p>
    <w:p>
      <w:pPr>
        <w:pStyle w:val="normal1"/>
        <w:spacing w:lineRule="auto" w:line="360"/>
        <w:jc w:val="both"/>
        <w:rPr/>
      </w:pPr>
      <w:r>
        <w:rPr/>
        <w:t>Los montos efectivamente recuperados se aplicarán en el siguiente orden de prelación: i) reintegro del capital del Inversionista; ii) intereses correspondientes al Inversionista conforme a la tasa pactada; iii) proporción de intereses y honorarios de Cube; iv) gastos y costas del proceso de recuperación incurridos por Cube</w:t>
      </w:r>
    </w:p>
    <w:p>
      <w:pPr>
        <w:pStyle w:val="normal1"/>
        <w:spacing w:lineRule="auto" w:line="360"/>
        <w:jc w:val="both"/>
        <w:rPr/>
      </w:pPr>
      <w:r>
        <w:rPr/>
        <w:t>Cube comunicará al Inversionista el estado de las gestiones de recuperación de forma mensual, manteniéndolo informado sobre las acciones implementadas.</w:t>
      </w:r>
    </w:p>
    <w:p>
      <w:pPr>
        <w:pStyle w:val="normal1"/>
        <w:spacing w:lineRule="auto" w:line="360"/>
        <w:jc w:val="both"/>
        <w:rPr/>
      </w:pPr>
      <w:r>
        <w:rPr/>
      </w:r>
    </w:p>
    <w:p>
      <w:pPr>
        <w:pStyle w:val="normal1"/>
        <w:spacing w:lineRule="auto" w:line="360"/>
        <w:jc w:val="both"/>
        <w:rPr/>
      </w:pPr>
      <w:r>
        <w:rPr/>
        <w:t>El Inversionista declara haber comprendido el funcionamiento de esta estructura, reconoce que le otorga protección real sobre el activo subyacente de su inversión, y acepta expresamente sus términos como condición de participación en la Plataforma CASH IN.</w:t>
      </w:r>
    </w:p>
    <w:p>
      <w:pPr>
        <w:pStyle w:val="normal1"/>
        <w:spacing w:lineRule="auto" w:line="360"/>
        <w:jc w:val="both"/>
        <w:rPr/>
      </w:pPr>
      <w:r>
        <w:rPr/>
      </w:r>
    </w:p>
    <w:tbl>
      <w:tblPr>
        <w:tblStyle w:val="Table6"/>
        <w:tblW w:w="9720" w:type="dxa"/>
        <w:jc w:val="start"/>
        <w:tblInd w:w="0" w:type="dxa"/>
        <w:tblLayout w:type="fixed"/>
        <w:tblCellMar>
          <w:top w:w="140" w:type="dxa"/>
          <w:start w:w="280" w:type="dxa"/>
          <w:bottom w:w="140" w:type="dxa"/>
          <w:end w:w="280" w:type="dxa"/>
        </w:tblCellMar>
        <w:tblLook w:val="0400"/>
      </w:tblPr>
      <w:tblGrid>
        <w:gridCol w:w="9720"/>
      </w:tblGrid>
      <w:tr>
        <w:trPr/>
        <w:tc>
          <w:tcPr>
            <w:tcW w:w="9720" w:type="dxa"/>
            <w:tcBorders/>
            <w:shd w:fill="4436C8" w:val="clear"/>
          </w:tcPr>
          <w:p>
            <w:pPr>
              <w:pStyle w:val="normal1"/>
              <w:tabs>
                <w:tab w:val="clear" w:pos="720"/>
                <w:tab w:val="left" w:pos="6717" w:leader="none"/>
              </w:tabs>
              <w:spacing w:lineRule="auto" w:line="360"/>
              <w:jc w:val="both"/>
              <w:rPr/>
            </w:pPr>
            <w:r>
              <w:rPr>
                <w:b/>
                <w:bCs/>
                <w:color w:val="FFFFFF"/>
              </w:rPr>
              <w:t>QUINTA — Administración, cobro y liquidaciones</w:t>
              <w:tab/>
            </w:r>
          </w:p>
        </w:tc>
      </w:tr>
    </w:tbl>
    <w:p>
      <w:pPr>
        <w:pStyle w:val="normal1"/>
        <w:spacing w:lineRule="auto" w:line="360"/>
        <w:jc w:val="both"/>
        <w:rPr/>
      </w:pPr>
      <w:r>
        <w:rPr/>
      </w:r>
    </w:p>
    <w:p>
      <w:pPr>
        <w:pStyle w:val="normal1"/>
        <w:spacing w:lineRule="auto" w:line="360"/>
        <w:ind w:hanging="0" w:start="200"/>
        <w:jc w:val="both"/>
        <w:rPr/>
      </w:pPr>
      <w:r>
        <w:rPr>
          <w:b/>
          <w:bCs/>
          <w:color w:val="5B4FCF"/>
        </w:rPr>
        <w:t xml:space="preserve">a)  </w:t>
      </w:r>
      <w:r>
        <w:rPr>
          <w:b/>
          <w:bCs/>
        </w:rPr>
        <w:t>Servicios de administración</w:t>
      </w:r>
    </w:p>
    <w:p>
      <w:pPr>
        <w:pStyle w:val="normal1"/>
        <w:spacing w:lineRule="auto" w:line="360"/>
        <w:jc w:val="both"/>
        <w:rPr/>
      </w:pPr>
      <w:r>
        <w:rPr/>
        <w:t>Cube se compromete a prestar los siguientes servicios durante la vigencia de cada inversión:</w:t>
      </w:r>
    </w:p>
    <w:p>
      <w:pPr>
        <w:pStyle w:val="normal1"/>
        <w:keepNext w:val="false"/>
        <w:keepLines w:val="false"/>
        <w:pageBreakBefore w:val="false"/>
        <w:widowControl/>
        <w:numPr>
          <w:ilvl w:val="0"/>
          <w:numId w:val="1"/>
        </w:numPr>
        <w:shd w:val="clear" w:fill="auto"/>
        <w:spacing w:lineRule="auto" w:line="360" w:before="0" w:after="0"/>
        <w:ind w:hanging="240" w:start="480" w:end="0"/>
        <w:jc w:val="both"/>
        <w:rPr/>
      </w:pPr>
      <w:r>
        <w:rPr>
          <w:rFonts w:eastAsia="Arial" w:cs="Arial"/>
          <w:b w:val="false"/>
          <w:bCs w:val="false"/>
          <w:i w:val="false"/>
          <w:iCs w:val="false"/>
          <w:caps w:val="false"/>
          <w:smallCaps w:val="false"/>
          <w:strike w:val="false"/>
          <w:dstrike w:val="false"/>
          <w:color w:val="1E1E3A"/>
          <w:position w:val="0"/>
          <w:sz w:val="20"/>
          <w:szCs w:val="20"/>
          <w:u w:val="none"/>
          <w:shd w:fill="auto" w:val="clear"/>
          <w:vertAlign w:val="baseline"/>
        </w:rPr>
        <w:t>Recibir los desembolsos del Inversionista y trasladarlos conforme a las instrucciones acordadas.</w:t>
      </w:r>
    </w:p>
    <w:p>
      <w:pPr>
        <w:pStyle w:val="normal1"/>
        <w:keepNext w:val="false"/>
        <w:keepLines w:val="false"/>
        <w:pageBreakBefore w:val="false"/>
        <w:widowControl/>
        <w:numPr>
          <w:ilvl w:val="0"/>
          <w:numId w:val="1"/>
        </w:numPr>
        <w:shd w:val="clear" w:fill="auto"/>
        <w:spacing w:lineRule="auto" w:line="360" w:before="0" w:after="0"/>
        <w:ind w:hanging="240" w:start="480" w:end="0"/>
        <w:jc w:val="both"/>
        <w:rPr/>
      </w:pPr>
      <w:r>
        <w:rPr>
          <w:rFonts w:eastAsia="Arial" w:cs="Arial"/>
          <w:b w:val="false"/>
          <w:bCs w:val="false"/>
          <w:i w:val="false"/>
          <w:iCs w:val="false"/>
          <w:caps w:val="false"/>
          <w:smallCaps w:val="false"/>
          <w:strike w:val="false"/>
          <w:dstrike w:val="false"/>
          <w:color w:val="1E1E3A"/>
          <w:position w:val="0"/>
          <w:sz w:val="20"/>
          <w:szCs w:val="20"/>
          <w:u w:val="none"/>
          <w:shd w:fill="auto" w:val="clear"/>
          <w:vertAlign w:val="baseline"/>
        </w:rPr>
        <w:t>Emitir recordatorios periódicos a los deudores sobre fechas, montos y formas de pago.</w:t>
      </w:r>
    </w:p>
    <w:p>
      <w:pPr>
        <w:pStyle w:val="normal1"/>
        <w:keepNext w:val="false"/>
        <w:keepLines w:val="false"/>
        <w:pageBreakBefore w:val="false"/>
        <w:widowControl/>
        <w:numPr>
          <w:ilvl w:val="0"/>
          <w:numId w:val="1"/>
        </w:numPr>
        <w:shd w:val="clear" w:fill="auto"/>
        <w:spacing w:lineRule="auto" w:line="360" w:before="0" w:after="0"/>
        <w:ind w:hanging="240" w:start="480" w:end="0"/>
        <w:jc w:val="both"/>
        <w:rPr/>
      </w:pPr>
      <w:r>
        <w:rPr>
          <w:rFonts w:eastAsia="Arial" w:cs="Arial"/>
          <w:b w:val="false"/>
          <w:bCs w:val="false"/>
          <w:i w:val="false"/>
          <w:iCs w:val="false"/>
          <w:caps w:val="false"/>
          <w:smallCaps w:val="false"/>
          <w:strike w:val="false"/>
          <w:dstrike w:val="false"/>
          <w:color w:val="1E1E3A"/>
          <w:position w:val="0"/>
          <w:sz w:val="20"/>
          <w:szCs w:val="20"/>
          <w:u w:val="none"/>
          <w:shd w:fill="auto" w:val="clear"/>
          <w:vertAlign w:val="baseline"/>
        </w:rPr>
        <w:t>Gestionar el cobro extrajudicial y, cuando corresponda, judicial de los créditos.</w:t>
      </w:r>
    </w:p>
    <w:p>
      <w:pPr>
        <w:pStyle w:val="normal1"/>
        <w:keepNext w:val="false"/>
        <w:keepLines w:val="false"/>
        <w:pageBreakBefore w:val="false"/>
        <w:widowControl/>
        <w:numPr>
          <w:ilvl w:val="0"/>
          <w:numId w:val="1"/>
        </w:numPr>
        <w:shd w:val="clear" w:fill="auto"/>
        <w:spacing w:lineRule="auto" w:line="360" w:before="0" w:after="0"/>
        <w:ind w:hanging="240" w:start="480" w:end="0"/>
        <w:jc w:val="both"/>
        <w:rPr/>
      </w:pPr>
      <w:r>
        <w:rPr>
          <w:rFonts w:eastAsia="Arial" w:cs="Arial"/>
          <w:b w:val="false"/>
          <w:bCs w:val="false"/>
          <w:i w:val="false"/>
          <w:iCs w:val="false"/>
          <w:caps w:val="false"/>
          <w:smallCaps w:val="false"/>
          <w:strike w:val="false"/>
          <w:dstrike w:val="false"/>
          <w:color w:val="1E1E3A"/>
          <w:position w:val="0"/>
          <w:sz w:val="20"/>
          <w:szCs w:val="20"/>
          <w:u w:val="none"/>
          <w:shd w:fill="auto" w:val="clear"/>
          <w:vertAlign w:val="baseline"/>
        </w:rPr>
        <w:t>Mantener registros actualizados de inversiones, saldos, moras y estatus de cartera.</w:t>
      </w:r>
    </w:p>
    <w:p>
      <w:pPr>
        <w:pStyle w:val="normal1"/>
        <w:keepNext w:val="false"/>
        <w:keepLines w:val="false"/>
        <w:pageBreakBefore w:val="false"/>
        <w:widowControl/>
        <w:numPr>
          <w:ilvl w:val="0"/>
          <w:numId w:val="1"/>
        </w:numPr>
        <w:shd w:val="clear" w:fill="auto"/>
        <w:spacing w:lineRule="auto" w:line="360" w:before="0" w:after="0"/>
        <w:ind w:hanging="240" w:start="480" w:end="0"/>
        <w:jc w:val="both"/>
        <w:rPr/>
      </w:pPr>
      <w:r>
        <w:rPr>
          <w:rFonts w:eastAsia="Arial" w:cs="Arial"/>
          <w:b w:val="false"/>
          <w:bCs w:val="false"/>
          <w:i w:val="false"/>
          <w:iCs w:val="false"/>
          <w:caps w:val="false"/>
          <w:smallCaps w:val="false"/>
          <w:strike w:val="false"/>
          <w:dstrike w:val="false"/>
          <w:color w:val="1E1E3A"/>
          <w:position w:val="0"/>
          <w:sz w:val="20"/>
          <w:szCs w:val="20"/>
          <w:u w:val="none"/>
          <w:shd w:fill="auto" w:val="clear"/>
          <w:vertAlign w:val="baseline"/>
        </w:rPr>
        <w:t>Realizar acuerdos extrajudiciales de pago con deudores cuando lo considere razonable y beneficioso para la recuperación de fondos, sin necesidad de autorización previa del Inversionista.</w:t>
      </w:r>
    </w:p>
    <w:p>
      <w:pPr>
        <w:pStyle w:val="normal1"/>
        <w:spacing w:lineRule="auto" w:line="360"/>
        <w:jc w:val="both"/>
        <w:rPr/>
      </w:pPr>
      <w:r>
        <w:rPr/>
      </w:r>
    </w:p>
    <w:p>
      <w:pPr>
        <w:pStyle w:val="normal1"/>
        <w:spacing w:lineRule="auto" w:line="360"/>
        <w:ind w:hanging="0" w:start="200"/>
        <w:jc w:val="both"/>
        <w:rPr/>
      </w:pPr>
      <w:r>
        <w:rPr>
          <w:b/>
          <w:bCs/>
          <w:color w:val="5B4FCF"/>
        </w:rPr>
        <w:t xml:space="preserve">b)  </w:t>
      </w:r>
      <w:r>
        <w:rPr>
          <w:b/>
          <w:bCs/>
        </w:rPr>
        <w:t>Liquidaciones mensuales</w:t>
      </w:r>
    </w:p>
    <w:p>
      <w:pPr>
        <w:pStyle w:val="normal1"/>
        <w:spacing w:lineRule="auto" w:line="360"/>
        <w:jc w:val="both"/>
        <w:rPr/>
      </w:pPr>
      <w:r>
        <w:rPr/>
        <w:t xml:space="preserve">Cube realizará liquidaciones mensuales de los pagos recibidos, que remitirá al Inversionista a más tardar el día diez del mes siguiente, o día hábil inmediato posterior. Cada liquidación detallará por separado el capital e intereses a favor del inversionista. </w:t>
      </w:r>
    </w:p>
    <w:p>
      <w:pPr>
        <w:pStyle w:val="normal1"/>
        <w:spacing w:lineRule="auto" w:line="360"/>
        <w:jc w:val="both"/>
        <w:rPr/>
      </w:pPr>
      <w:r>
        <w:rPr/>
        <w:t xml:space="preserve">El Inversionista tendrá cinco días hábiles para presentar consultas u objeciones. Transcurrido dicho plazo sin objeción, la liquidación se tendrá por aceptada. </w:t>
      </w:r>
    </w:p>
    <w:p>
      <w:pPr>
        <w:pStyle w:val="normal1"/>
        <w:spacing w:lineRule="auto" w:line="360"/>
        <w:jc w:val="both"/>
        <w:rPr/>
      </w:pPr>
      <w:r>
        <w:rPr/>
        <w:t>Cuando el Inversionista decida reinvertir total o parcialmente sus rendimientos o capital acumulado, podrá instruir a Cube por escrito para que dicho monto sea aplicado a nuevas oportunidades de inversión mediante la cesión de créditos activos equivalentes. En este caso, la cesión formalizará el monto reinvertido y no constituirá una forma alternativa de pago por parte de Cube.</w:t>
      </w:r>
    </w:p>
    <w:p>
      <w:pPr>
        <w:pStyle w:val="normal1"/>
        <w:spacing w:lineRule="auto" w:line="360"/>
        <w:jc w:val="both"/>
        <w:rPr/>
      </w:pPr>
      <w:r>
        <w:rPr/>
      </w:r>
    </w:p>
    <w:p>
      <w:pPr>
        <w:pStyle w:val="normal1"/>
        <w:spacing w:lineRule="auto" w:line="360"/>
        <w:ind w:hanging="0" w:start="200"/>
        <w:jc w:val="both"/>
        <w:rPr/>
      </w:pPr>
      <w:r>
        <w:rPr>
          <w:b/>
          <w:bCs/>
          <w:color w:val="5B4FCF"/>
        </w:rPr>
        <w:t xml:space="preserve">c)  </w:t>
      </w:r>
      <w:r>
        <w:rPr>
          <w:b/>
          <w:bCs/>
        </w:rPr>
        <w:t>Registros contables</w:t>
      </w:r>
    </w:p>
    <w:p>
      <w:pPr>
        <w:pStyle w:val="normal1"/>
        <w:spacing w:lineRule="auto" w:line="360"/>
        <w:jc w:val="both"/>
        <w:rPr/>
      </w:pPr>
      <w:r>
        <w:rPr/>
        <w:t>Cube llevará registros completos y precisos de todas las operaciones derivadas del presente Contrato. En caso de discrepancia entre los registros de las partes, prevalecerán los de Cube.</w:t>
      </w:r>
    </w:p>
    <w:p>
      <w:pPr>
        <w:pStyle w:val="normal1"/>
        <w:spacing w:lineRule="auto" w:line="360"/>
        <w:jc w:val="both"/>
        <w:rPr/>
      </w:pPr>
      <w:r>
        <w:rPr/>
        <w:t>Cube se compromete a remitir al Inversionista, junto con cada liquidación mensual, un estado de cuenta detallado que refleje el saldo de capital e intereses generados, y estatus de cada inversión vigente, de forma que el Inversionista cuente con información suficiente y oportuna sobre el desempeño de su cartera.</w:t>
      </w:r>
    </w:p>
    <w:p>
      <w:pPr>
        <w:pStyle w:val="normal1"/>
        <w:spacing w:lineRule="auto" w:line="360"/>
        <w:jc w:val="both"/>
        <w:rPr/>
      </w:pPr>
      <w:r>
        <w:rPr/>
      </w:r>
    </w:p>
    <w:p>
      <w:pPr>
        <w:pStyle w:val="normal1"/>
        <w:spacing w:lineRule="auto" w:line="360"/>
        <w:ind w:hanging="0" w:start="200"/>
        <w:jc w:val="both"/>
        <w:rPr/>
      </w:pPr>
      <w:r>
        <w:rPr>
          <w:b/>
          <w:bCs/>
          <w:color w:val="5B4FCF"/>
        </w:rPr>
        <w:t xml:space="preserve">d)  </w:t>
      </w:r>
      <w:r>
        <w:rPr>
          <w:b/>
          <w:bCs/>
        </w:rPr>
        <w:t>Reinversión</w:t>
      </w:r>
    </w:p>
    <w:p>
      <w:pPr>
        <w:pStyle w:val="normal1"/>
        <w:spacing w:lineRule="auto" w:line="360"/>
        <w:jc w:val="both"/>
        <w:rPr/>
      </w:pPr>
      <w:r>
        <w:rPr/>
        <w:t xml:space="preserve">Cuando el Inversionista opte por cualquiera de las modalidades de reinversión establecidas en la cláusula tercera, bastará con la instrucción escrita del Inversionista — incluyendo comunicación por correo electrónico a la dirección registrada de Cube — para que Cube aplique los montos correspondientes a nuevas oportunidades dentro de la cartera administrada. </w:t>
      </w:r>
    </w:p>
    <w:p>
      <w:pPr>
        <w:pStyle w:val="normal1"/>
        <w:spacing w:lineRule="auto" w:line="360"/>
        <w:jc w:val="both"/>
        <w:rPr/>
      </w:pPr>
      <w:r>
        <w:rPr/>
        <w:t>No será necesaria la suscripción de contratos adicionales, cesiones ni ningún otro instrumento para formalizar la reinversión, siendo suficiente el registro interno de Cube y la liquidación mensual correspondiente como constancia de la operación.</w:t>
      </w:r>
    </w:p>
    <w:p>
      <w:pPr>
        <w:pStyle w:val="normal1"/>
        <w:spacing w:lineRule="auto" w:line="360"/>
        <w:jc w:val="both"/>
        <w:rPr/>
      </w:pPr>
      <w:r>
        <w:rPr/>
        <w:t>La modalidad de inversión elegida podrá modificarse mediante instrucción escrita o correo electrónico del Inversionista, con al menos quince días de anticipación a la siguiente liquidación. Cube podrá requerir al Inversionista la suscripción de una carta de confirmación cuando el cambio solicitado implique una modificación sustancial en la forma de recepción de sus retornos</w:t>
      </w:r>
    </w:p>
    <w:p>
      <w:pPr>
        <w:pStyle w:val="normal1"/>
        <w:spacing w:lineRule="auto" w:line="360"/>
        <w:jc w:val="both"/>
        <w:rPr/>
      </w:pPr>
      <w:r>
        <w:rPr/>
      </w:r>
    </w:p>
    <w:p>
      <w:pPr>
        <w:pStyle w:val="normal1"/>
        <w:spacing w:lineRule="auto" w:line="360"/>
        <w:jc w:val="both"/>
        <w:rPr/>
      </w:pPr>
      <w:r>
        <w:rPr/>
      </w:r>
    </w:p>
    <w:tbl>
      <w:tblPr>
        <w:tblStyle w:val="Table7"/>
        <w:tblW w:w="9720" w:type="dxa"/>
        <w:jc w:val="start"/>
        <w:tblInd w:w="0" w:type="dxa"/>
        <w:tblLayout w:type="fixed"/>
        <w:tblCellMar>
          <w:top w:w="140" w:type="dxa"/>
          <w:start w:w="280" w:type="dxa"/>
          <w:bottom w:w="140" w:type="dxa"/>
          <w:end w:w="280" w:type="dxa"/>
        </w:tblCellMar>
        <w:tblLook w:val="0400"/>
      </w:tblPr>
      <w:tblGrid>
        <w:gridCol w:w="9720"/>
      </w:tblGrid>
      <w:tr>
        <w:trPr/>
        <w:tc>
          <w:tcPr>
            <w:tcW w:w="9720" w:type="dxa"/>
            <w:tcBorders/>
            <w:shd w:fill="4436C8" w:val="clear"/>
          </w:tcPr>
          <w:p>
            <w:pPr>
              <w:pStyle w:val="normal1"/>
              <w:spacing w:lineRule="auto" w:line="360"/>
              <w:jc w:val="both"/>
              <w:rPr/>
            </w:pPr>
            <w:r>
              <w:rPr>
                <w:b/>
                <w:bCs/>
                <w:color w:val="FFFFFF"/>
              </w:rPr>
              <w:t>SEXTA —  Condiciones comerciales</w:t>
            </w:r>
          </w:p>
        </w:tc>
      </w:tr>
    </w:tbl>
    <w:p>
      <w:pPr>
        <w:pStyle w:val="normal1"/>
        <w:spacing w:lineRule="auto" w:line="360"/>
        <w:jc w:val="both"/>
        <w:rPr/>
      </w:pPr>
      <w:r>
        <w:rPr/>
      </w:r>
    </w:p>
    <w:p>
      <w:pPr>
        <w:pStyle w:val="normal1"/>
        <w:spacing w:lineRule="auto" w:line="360"/>
        <w:jc w:val="both"/>
        <w:rPr/>
      </w:pPr>
      <w:r>
        <w:rPr>
          <w:b/>
          <w:bCs/>
          <w:i/>
          <w:iCs/>
          <w:color w:val="8888AA"/>
        </w:rPr>
        <w:t xml:space="preserve">Nota: </w:t>
      </w:r>
      <w:r>
        <w:rPr>
          <w:i/>
          <w:iCs/>
          <w:color w:val="8888AA"/>
        </w:rPr>
        <w:t>Esta cláusula podrá actualizarse mediante addendum suscrito por ambas partes, sin necesidad de modificar el resto del Contrato.</w:t>
      </w:r>
    </w:p>
    <w:p>
      <w:pPr>
        <w:pStyle w:val="normal1"/>
        <w:spacing w:lineRule="auto" w:line="360"/>
        <w:jc w:val="both"/>
        <w:rPr/>
      </w:pPr>
      <w:r>
        <w:rPr/>
      </w:r>
    </w:p>
    <w:p>
      <w:pPr>
        <w:pStyle w:val="normal1"/>
        <w:spacing w:lineRule="auto" w:line="360"/>
        <w:ind w:hanging="0" w:start="200"/>
        <w:jc w:val="both"/>
        <w:rPr/>
      </w:pPr>
      <w:r>
        <w:rPr>
          <w:b/>
          <w:bCs/>
          <w:color w:val="5B4FCF"/>
        </w:rPr>
        <w:t xml:space="preserve">a)  </w:t>
      </w:r>
      <w:r>
        <w:rPr>
          <w:b/>
          <w:bCs/>
        </w:rPr>
        <w:t>Tasa de retorno del Inversionista</w:t>
      </w:r>
    </w:p>
    <w:p>
      <w:pPr>
        <w:pStyle w:val="normal1"/>
        <w:spacing w:lineRule="auto" w:line="360"/>
        <w:jc w:val="both"/>
        <w:rPr/>
      </w:pPr>
      <w:r>
        <w:rPr/>
        <w:t xml:space="preserve">Las partes acuerdan que el Inversionista recibirá una tasa de retorno del </w:t>
      </w:r>
      <w:r>
        <w:rPr/>
        <w:t>{tasaRetornoAnualIva}</w:t>
      </w:r>
      <w:r>
        <w:rPr/>
        <w:t xml:space="preserve">% anual más IVA (equivalente a una tasa neta de </w:t>
      </w:r>
      <w:r>
        <w:rPr/>
        <w:t>{tasaRetornoAnual}</w:t>
      </w:r>
      <w:r>
        <w:rPr/>
        <w:t>% anual) sobre el capital efectivamente colocado</w:t>
      </w:r>
    </w:p>
    <w:p>
      <w:pPr>
        <w:pStyle w:val="normal1"/>
        <w:spacing w:lineRule="auto" w:line="360"/>
        <w:jc w:val="both"/>
        <w:rPr/>
      </w:pPr>
      <w:r>
        <w:rPr/>
      </w:r>
    </w:p>
    <w:p>
      <w:pPr>
        <w:pStyle w:val="normal1"/>
        <w:spacing w:lineRule="auto" w:line="360"/>
        <w:ind w:hanging="0" w:start="200"/>
        <w:jc w:val="both"/>
        <w:rPr>
          <w:b/>
          <w:bCs/>
        </w:rPr>
      </w:pPr>
      <w:r>
        <w:rPr>
          <w:b/>
          <w:bCs/>
          <w:color w:val="5B4FCF"/>
        </w:rPr>
        <w:t xml:space="preserve">b)  </w:t>
      </w:r>
      <w:r>
        <w:rPr>
          <w:b/>
          <w:bCs/>
        </w:rPr>
        <w:t>Transferencia de posición</w:t>
      </w:r>
    </w:p>
    <w:p>
      <w:pPr>
        <w:pStyle w:val="normal1"/>
        <w:spacing w:lineRule="auto" w:line="360"/>
        <w:jc w:val="both"/>
        <w:rPr/>
      </w:pPr>
      <w:r>
        <w:rPr/>
        <w:t>La transferencia total o parcial de la posición del Inversionista a un tercero únicamente podrá realizarse a través de Cube, mediante el mecanismo de compra de cartera establecido en la cláusula tercera. En ningún caso el Inversionista podrá ceder, transferir o gravar su posición directamente a un tercero sin la intervención y validación previa de Cube.</w:t>
      </w:r>
    </w:p>
    <w:p>
      <w:pPr>
        <w:pStyle w:val="normal1"/>
        <w:spacing w:lineRule="auto" w:line="360"/>
        <w:jc w:val="both"/>
        <w:rPr/>
      </w:pPr>
      <w:r>
        <w:rPr/>
        <w:t>Cube podrá rechazar la transferencia si el tercero propuesto no cumple con los requisitos de debida diligencia y prevención de lavado de dinero aplicables, sin que ello genere responsabilidad alguna para Cube.</w:t>
      </w:r>
    </w:p>
    <w:p>
      <w:pPr>
        <w:pStyle w:val="normal1"/>
        <w:spacing w:lineRule="auto" w:line="360"/>
        <w:jc w:val="both"/>
        <w:rPr/>
      </w:pPr>
      <w:r>
        <w:rPr/>
        <w:t>Todos los costos asociados a la transferencia — incluyendo honorarios, gastos administrativos e impuestos aplicables — serán asumidos por el Inversionista cedente.</w:t>
      </w:r>
    </w:p>
    <w:p>
      <w:pPr>
        <w:pStyle w:val="normal1"/>
        <w:spacing w:lineRule="auto" w:line="360"/>
        <w:jc w:val="both"/>
        <w:rPr/>
      </w:pPr>
      <w:r>
        <w:rPr/>
      </w:r>
    </w:p>
    <w:tbl>
      <w:tblPr>
        <w:tblStyle w:val="Table8"/>
        <w:tblW w:w="9720" w:type="dxa"/>
        <w:jc w:val="start"/>
        <w:tblInd w:w="0" w:type="dxa"/>
        <w:tblLayout w:type="fixed"/>
        <w:tblCellMar>
          <w:top w:w="140" w:type="dxa"/>
          <w:start w:w="280" w:type="dxa"/>
          <w:bottom w:w="140" w:type="dxa"/>
          <w:end w:w="280" w:type="dxa"/>
        </w:tblCellMar>
        <w:tblLook w:val="0400"/>
      </w:tblPr>
      <w:tblGrid>
        <w:gridCol w:w="9720"/>
      </w:tblGrid>
      <w:tr>
        <w:trPr/>
        <w:tc>
          <w:tcPr>
            <w:tcW w:w="9720" w:type="dxa"/>
            <w:tcBorders/>
            <w:shd w:fill="4436C8" w:val="clear"/>
          </w:tcPr>
          <w:p>
            <w:pPr>
              <w:pStyle w:val="normal1"/>
              <w:spacing w:lineRule="auto" w:line="360"/>
              <w:jc w:val="both"/>
              <w:rPr/>
            </w:pPr>
            <w:r>
              <w:rPr>
                <w:b/>
                <w:bCs/>
                <w:color w:val="FFFFFF"/>
              </w:rPr>
              <w:t>SÉPTIMA — Terminación</w:t>
            </w:r>
          </w:p>
        </w:tc>
      </w:tr>
    </w:tbl>
    <w:p>
      <w:pPr>
        <w:pStyle w:val="normal1"/>
        <w:spacing w:lineRule="auto" w:line="360"/>
        <w:jc w:val="both"/>
        <w:rPr/>
      </w:pPr>
      <w:r>
        <w:rPr/>
      </w:r>
    </w:p>
    <w:p>
      <w:pPr>
        <w:pStyle w:val="normal1"/>
        <w:spacing w:lineRule="auto" w:line="360"/>
        <w:jc w:val="both"/>
        <w:rPr/>
      </w:pPr>
      <w:r>
        <w:rPr/>
        <w:t>El presente Contrato tendrá vigencia por el plazo que dure la totalidad de las inversiones vigentes del Inversionista, el cual estará determinado naturalmente por el plazo de los contratos de crédito subyacentes. El Contrato se extinguirá de forma natural una vez que todas las inversiones del Inversionista hayan sido liquidadas en su totalidad.</w:t>
      </w:r>
    </w:p>
    <w:p>
      <w:pPr>
        <w:pStyle w:val="normal1"/>
        <w:spacing w:lineRule="auto" w:line="360"/>
        <w:jc w:val="both"/>
        <w:rPr/>
      </w:pPr>
      <w:r>
        <w:rPr/>
        <w:t>Sin perjuicio de lo anterior, las partes podrán dar por terminado el Contrato de forma anticipada conforme a los siguientes escenarios</w:t>
      </w:r>
    </w:p>
    <w:p>
      <w:pPr>
        <w:pStyle w:val="normal1"/>
        <w:spacing w:lineRule="auto" w:line="360"/>
        <w:jc w:val="both"/>
        <w:rPr/>
      </w:pPr>
      <w:r>
        <w:rPr/>
      </w:r>
    </w:p>
    <w:tbl>
      <w:tblPr>
        <w:tblStyle w:val="Table9"/>
        <w:tblW w:w="9720" w:type="dxa"/>
        <w:jc w:val="start"/>
        <w:tblInd w:w="0" w:type="dxa"/>
        <w:tblLayout w:type="fixed"/>
        <w:tblCellMar>
          <w:top w:w="120" w:type="dxa"/>
          <w:start w:w="160" w:type="dxa"/>
          <w:bottom w:w="120" w:type="dxa"/>
          <w:end w:w="160" w:type="dxa"/>
        </w:tblCellMar>
        <w:tblLook w:val="0400"/>
      </w:tblPr>
      <w:tblGrid>
        <w:gridCol w:w="1700"/>
        <w:gridCol w:w="8020"/>
      </w:tblGrid>
      <w:tr>
        <w:trPr/>
        <w:tc>
          <w:tcPr>
            <w:tcW w:w="1700" w:type="dxa"/>
            <w:tcBorders/>
            <w:shd w:fill="3A5FA8" w:val="clear"/>
            <w:vAlign w:val="center"/>
          </w:tcPr>
          <w:p>
            <w:pPr>
              <w:pStyle w:val="normal1"/>
              <w:spacing w:lineRule="auto" w:line="360"/>
              <w:jc w:val="both"/>
              <w:rPr/>
            </w:pPr>
            <w:r>
              <w:rPr>
                <w:b/>
                <w:bCs/>
                <w:color w:val="FFFFFF"/>
              </w:rPr>
              <w:t>Escenario A Salida voluntaria</w:t>
            </w:r>
          </w:p>
        </w:tc>
        <w:tc>
          <w:tcPr>
            <w:tcW w:w="8020" w:type="dxa"/>
            <w:tcBorders>
              <w:top w:val="single" w:sz="4" w:space="0" w:color="DDDDF5"/>
              <w:bottom w:val="single" w:sz="4" w:space="0" w:color="DDDDF5"/>
              <w:end w:val="single" w:sz="4" w:space="0" w:color="DDDDF5"/>
            </w:tcBorders>
            <w:shd w:fill="F8F8FC" w:val="clear"/>
            <w:tcMar>
              <w:start w:w="200" w:type="dxa"/>
            </w:tcMar>
          </w:tcPr>
          <w:p>
            <w:pPr>
              <w:pStyle w:val="normal1"/>
              <w:spacing w:lineRule="auto" w:line="360"/>
              <w:jc w:val="both"/>
              <w:rPr/>
            </w:pPr>
            <w:r>
              <w:rPr/>
              <w:t>El Inversionista podrá solicitar la terminación del Contrato en cualquier momento mediante notificación escrita. Cube realizará sus mejores esfuerzos para colocar la cartera activa del Inversionista mediante cesión a otro inversionista dentro de noventa días desde la notificación, informando al Inversionista de forma mensual sobre el avance. La imposibilidad de devolución inmediata es inherente a la naturaleza de los créditos y no constituye incumplimiento. Sin penalidad.</w:t>
            </w:r>
          </w:p>
        </w:tc>
      </w:tr>
    </w:tbl>
    <w:p>
      <w:pPr>
        <w:pStyle w:val="normal1"/>
        <w:spacing w:lineRule="auto" w:line="360"/>
        <w:jc w:val="both"/>
        <w:rPr/>
      </w:pPr>
      <w:r>
        <w:rPr/>
      </w:r>
    </w:p>
    <w:tbl>
      <w:tblPr>
        <w:tblStyle w:val="Table10"/>
        <w:tblW w:w="9720" w:type="dxa"/>
        <w:jc w:val="start"/>
        <w:tblInd w:w="0" w:type="dxa"/>
        <w:tblLayout w:type="fixed"/>
        <w:tblCellMar>
          <w:top w:w="120" w:type="dxa"/>
          <w:start w:w="160" w:type="dxa"/>
          <w:bottom w:w="120" w:type="dxa"/>
          <w:end w:w="160" w:type="dxa"/>
        </w:tblCellMar>
        <w:tblLook w:val="0400"/>
      </w:tblPr>
      <w:tblGrid>
        <w:gridCol w:w="1700"/>
        <w:gridCol w:w="8020"/>
      </w:tblGrid>
      <w:tr>
        <w:trPr/>
        <w:tc>
          <w:tcPr>
            <w:tcW w:w="1700" w:type="dxa"/>
            <w:tcBorders/>
            <w:shd w:fill="1C23A8" w:val="clear"/>
            <w:vAlign w:val="center"/>
          </w:tcPr>
          <w:p>
            <w:pPr>
              <w:pStyle w:val="normal1"/>
              <w:spacing w:lineRule="auto" w:line="360"/>
              <w:jc w:val="both"/>
              <w:rPr/>
            </w:pPr>
            <w:r>
              <w:rPr>
                <w:b/>
                <w:bCs/>
                <w:color w:val="FFFFFF"/>
              </w:rPr>
              <w:t>Escenario B Traslado a otro admin.</w:t>
            </w:r>
          </w:p>
        </w:tc>
        <w:tc>
          <w:tcPr>
            <w:tcW w:w="8020" w:type="dxa"/>
            <w:tcBorders>
              <w:top w:val="single" w:sz="4" w:space="0" w:color="DDDDF5"/>
              <w:bottom w:val="single" w:sz="4" w:space="0" w:color="DDDDF5"/>
              <w:end w:val="single" w:sz="4" w:space="0" w:color="DDDDF5"/>
            </w:tcBorders>
            <w:shd w:fill="F8F8FC" w:val="clear"/>
            <w:tcMar>
              <w:start w:w="200" w:type="dxa"/>
            </w:tcMar>
          </w:tcPr>
          <w:p>
            <w:pPr>
              <w:pStyle w:val="normal1"/>
              <w:spacing w:lineRule="auto" w:line="360"/>
              <w:jc w:val="both"/>
              <w:rPr/>
            </w:pPr>
            <w:r>
              <w:rPr/>
              <w:t>Si el Inversionista decide trasladar la administración de su cartera a un tercero distinto de Cube, se aplicará una compensación equivalente al cien por ciento (100%) de los honorarios proyectados pendientes sobre el saldo de cartera activa a la fecha de terminación. Dicha compensación será la única exigible por este concepto, sin perjuicio de los honorarios ya devengados.</w:t>
            </w:r>
          </w:p>
        </w:tc>
      </w:tr>
    </w:tbl>
    <w:p>
      <w:pPr>
        <w:pStyle w:val="normal1"/>
        <w:spacing w:lineRule="auto" w:line="360"/>
        <w:jc w:val="both"/>
        <w:rPr/>
      </w:pPr>
      <w:r>
        <w:rPr/>
      </w:r>
    </w:p>
    <w:p>
      <w:pPr>
        <w:pStyle w:val="normal1"/>
        <w:spacing w:lineRule="auto" w:line="360"/>
        <w:ind w:hanging="0" w:start="200"/>
        <w:jc w:val="both"/>
        <w:rPr/>
      </w:pPr>
      <w:r>
        <w:rPr>
          <w:b/>
          <w:bCs/>
        </w:rPr>
        <w:t>Disposiciones comunes</w:t>
      </w:r>
    </w:p>
    <w:p>
      <w:pPr>
        <w:pStyle w:val="normal1"/>
        <w:spacing w:lineRule="auto" w:line="360"/>
        <w:jc w:val="both"/>
        <w:rPr/>
      </w:pPr>
      <w:r>
        <w:rPr/>
        <w:t>Al momento de la terminación, Cube elaborará y remitirá al Inversionista una liquidación final detallando saldos de capital, intereses, pagos recibidos, honorarios cobrados y obligaciones en trámite.</w:t>
      </w:r>
    </w:p>
    <w:p>
      <w:pPr>
        <w:pStyle w:val="normal1"/>
        <w:spacing w:lineRule="auto" w:line="360"/>
        <w:jc w:val="both"/>
        <w:rPr/>
      </w:pPr>
      <w:r>
        <w:rPr/>
      </w:r>
    </w:p>
    <w:p>
      <w:pPr>
        <w:pStyle w:val="normal1"/>
        <w:spacing w:lineRule="auto" w:line="360"/>
        <w:jc w:val="both"/>
        <w:rPr/>
      </w:pPr>
      <w:r>
        <w:rPr/>
        <w:t>Cube conservará la facultad de continuar con la gestión de cobros y ejecución de garantías que se encuentren en trámite al momento de la terminación, hasta su total conclusión, sin que ello implique renovación del Contrato.</w:t>
      </w:r>
    </w:p>
    <w:p>
      <w:pPr>
        <w:pStyle w:val="normal1"/>
        <w:spacing w:lineRule="auto" w:line="360"/>
        <w:jc w:val="both"/>
        <w:rPr/>
      </w:pPr>
      <w:r>
        <w:rPr/>
      </w:r>
    </w:p>
    <w:p>
      <w:pPr>
        <w:pStyle w:val="normal1"/>
        <w:spacing w:lineRule="auto" w:line="360"/>
        <w:jc w:val="both"/>
        <w:rPr/>
      </w:pPr>
      <w:r>
        <w:rPr/>
        <w:t>Las obligaciones de confidencialidad, fiscales y cualquier responsabilidad pendiente subsistirán después de la terminación del Contrato.</w:t>
      </w:r>
    </w:p>
    <w:p>
      <w:pPr>
        <w:pStyle w:val="normal1"/>
        <w:spacing w:lineRule="auto" w:line="360"/>
        <w:jc w:val="both"/>
        <w:rPr/>
      </w:pPr>
      <w:r>
        <w:rPr/>
      </w:r>
    </w:p>
    <w:tbl>
      <w:tblPr>
        <w:tblStyle w:val="Table11"/>
        <w:tblW w:w="9720" w:type="dxa"/>
        <w:jc w:val="start"/>
        <w:tblInd w:w="0" w:type="dxa"/>
        <w:tblLayout w:type="fixed"/>
        <w:tblCellMar>
          <w:top w:w="140" w:type="dxa"/>
          <w:start w:w="280" w:type="dxa"/>
          <w:bottom w:w="140" w:type="dxa"/>
          <w:end w:w="280" w:type="dxa"/>
        </w:tblCellMar>
        <w:tblLook w:val="0400"/>
      </w:tblPr>
      <w:tblGrid>
        <w:gridCol w:w="9720"/>
      </w:tblGrid>
      <w:tr>
        <w:trPr/>
        <w:tc>
          <w:tcPr>
            <w:tcW w:w="9720" w:type="dxa"/>
            <w:tcBorders/>
            <w:shd w:fill="4436C8" w:val="clear"/>
          </w:tcPr>
          <w:p>
            <w:pPr>
              <w:pStyle w:val="normal1"/>
              <w:spacing w:lineRule="auto" w:line="360"/>
              <w:jc w:val="both"/>
              <w:rPr/>
            </w:pPr>
            <w:r>
              <w:rPr>
                <w:b/>
                <w:bCs/>
                <w:color w:val="FFFFFF"/>
              </w:rPr>
              <w:t>OCTAVA — Obligaciones fiscales</w:t>
            </w:r>
          </w:p>
        </w:tc>
      </w:tr>
    </w:tbl>
    <w:p>
      <w:pPr>
        <w:pStyle w:val="normal1"/>
        <w:spacing w:lineRule="auto" w:line="360"/>
        <w:jc w:val="both"/>
        <w:rPr/>
      </w:pPr>
      <w:r>
        <w:rPr/>
      </w:r>
    </w:p>
    <w:p>
      <w:pPr>
        <w:pStyle w:val="normal1"/>
        <w:spacing w:lineRule="auto" w:line="360"/>
        <w:jc w:val="both"/>
        <w:rPr/>
      </w:pPr>
      <w:r>
        <w:rPr/>
        <w:t>Las partes reconocen que los montos generados por la participación del Inversionista están sujetos al régimen fiscal aplicable en la República de Guatemala. Al momento de la suscripción del presente Contrato, el Inversionista deberá optar por una de las siguientes figuras fiscales, la cual quedará consignada en el instrumento correspondiente y podrá modificarse únicamente mediante addendum suscrito por ambas partes:</w:t>
      </w:r>
    </w:p>
    <w:p>
      <w:pPr>
        <w:pStyle w:val="normal1"/>
        <w:spacing w:lineRule="auto" w:line="360"/>
        <w:jc w:val="both"/>
        <w:rPr>
          <w:b/>
          <w:bCs/>
        </w:rPr>
      </w:pPr>
      <w:r>
        <w:rPr>
          <w:b/>
          <w:bCs/>
        </w:rPr>
      </w:r>
    </w:p>
    <w:p>
      <w:pPr>
        <w:pStyle w:val="normal1"/>
        <w:spacing w:lineRule="auto" w:line="360"/>
        <w:jc w:val="both"/>
        <w:rPr/>
      </w:pPr>
      <w:r>
        <w:rPr>
          <w:b/>
          <w:bCs/>
        </w:rPr>
        <w:t>Figura 1 — Facturación directa a cada deudor</w:t>
      </w:r>
    </w:p>
    <w:p>
      <w:pPr>
        <w:pStyle w:val="normal1"/>
        <w:spacing w:lineRule="auto" w:line="360"/>
        <w:jc w:val="both"/>
        <w:rPr/>
      </w:pPr>
      <w:r>
        <w:rPr/>
        <w:t>El Inversionista emitirá una factura individual a cada deudor por la proporción que le corresponda, dentro de los cinco días hábiles siguientes a cada liquidación mensual. Cube facilitará los datos necesarios de cada deudor. El Inversionista asume íntegramente su cumplimiento fiscal, sin responsabilidad alguna para Cube.</w:t>
      </w:r>
    </w:p>
    <w:p>
      <w:pPr>
        <w:pStyle w:val="normal1"/>
        <w:spacing w:lineRule="auto" w:line="360"/>
        <w:jc w:val="both"/>
        <w:rPr/>
      </w:pPr>
      <w:r>
        <w:rPr>
          <w:b/>
          <w:bCs/>
        </w:rPr>
        <w:t>Figura 2 — Facturación consolidada a Cube</w:t>
      </w:r>
    </w:p>
    <w:p>
      <w:pPr>
        <w:pStyle w:val="normal1"/>
        <w:spacing w:lineRule="auto" w:line="360"/>
        <w:jc w:val="both"/>
        <w:rPr/>
      </w:pPr>
      <w:r>
        <w:rPr/>
        <w:t>El Inversionista emitirá una sola factura mensual a favor de Cube Investments, S.A. por el total de sus rendimientos, dentro de los cinco días hábiles siguientes a cada liquidación. Cube retendrá y enterará a la SAT el impuesto aplicable, transfiriendo al Inversionista el monto neto resultante.</w:t>
      </w:r>
    </w:p>
    <w:p>
      <w:pPr>
        <w:pStyle w:val="normal1"/>
        <w:spacing w:lineRule="auto" w:line="360"/>
        <w:jc w:val="both"/>
        <w:rPr/>
      </w:pPr>
      <w:r>
        <w:rPr>
          <w:b/>
          <w:bCs/>
        </w:rPr>
        <w:t>Figura 3 — Facturación consolidada a Cube bajo régimen de pequeño contribuyente</w:t>
      </w:r>
    </w:p>
    <w:p>
      <w:pPr>
        <w:pStyle w:val="normal1"/>
        <w:spacing w:lineRule="auto" w:line="360"/>
        <w:jc w:val="both"/>
        <w:rPr/>
      </w:pPr>
      <w:r>
        <w:rPr/>
        <w:t>Aplicará la misma forma mencionada en la Figura 2, bajo el régimen de pequeño contribuyente del Inversionista. Cube retendrá y enterará al SAT el impuesto aplicable, transfiriendo al Inversionista el monto neto resultante.</w:t>
      </w:r>
    </w:p>
    <w:p>
      <w:pPr>
        <w:pStyle w:val="normal1"/>
        <w:spacing w:lineRule="auto" w:line="360"/>
        <w:jc w:val="both"/>
        <w:rPr/>
      </w:pPr>
      <w:r>
        <w:rPr/>
      </w:r>
    </w:p>
    <w:p>
      <w:pPr>
        <w:pStyle w:val="normal1"/>
        <w:spacing w:lineRule="auto" w:line="360"/>
        <w:jc w:val="both"/>
        <w:rPr/>
      </w:pPr>
      <w:r>
        <w:rPr>
          <w:b/>
          <w:bCs/>
        </w:rPr>
        <w:t>Disposiciones comunes</w:t>
      </w:r>
    </w:p>
    <w:p>
      <w:pPr>
        <w:pStyle w:val="normal1"/>
        <w:spacing w:lineRule="auto" w:line="360"/>
        <w:jc w:val="both"/>
        <w:rPr/>
      </w:pPr>
      <w:r>
        <w:rPr/>
        <w:t>La emisión oportuna de la factura correspondiente es una obligación del Inversionista. Su incumplimiento facultará a Cube a retener el pago de la siguiente liquidación hasta la regularización, sin que ello constituya incumplimiento de Cube.</w:t>
      </w:r>
    </w:p>
    <w:p>
      <w:pPr>
        <w:pStyle w:val="normal1"/>
        <w:spacing w:lineRule="auto" w:line="360"/>
        <w:jc w:val="both"/>
        <w:rPr/>
      </w:pPr>
      <w:r>
        <w:rPr/>
        <w:t>El Inversionista facturará exclusivamente bajo el régimen fiscal declarado al inicio de la relación contractual. La emisión de facturas bajo un régimen distinto al declarado, o la reincidencia en el incumplimiento de facturación, facultará a Cube a ajustar la tasa que estuviere vigente de retorno como penalidad y a exigir la regularización tributaria del Inversionista ante la SAT como condición para la reanudación normal de liquidaciones. En cualquier caso, el Inversionista mantendrá indemne a Cube de toda consecuencia fiscal derivada de su incumplimiento.</w:t>
      </w:r>
    </w:p>
    <w:p>
      <w:pPr>
        <w:pStyle w:val="normal1"/>
        <w:spacing w:lineRule="auto" w:line="360"/>
        <w:jc w:val="both"/>
        <w:rPr/>
      </w:pPr>
      <w:r>
        <w:rPr/>
        <w:t>Todo cambio de régimen fiscal deberá notificarse a Cube por escrito con al menos quince días de anticipación, adjuntando la constancia de inscripción emitida por la SAT. Cube no reconocerá facturas bajo el nuevo régimen hasta recibir dicha documentación.</w:t>
      </w:r>
    </w:p>
    <w:p>
      <w:pPr>
        <w:pStyle w:val="normal1"/>
        <w:spacing w:lineRule="auto" w:line="360"/>
        <w:jc w:val="both"/>
        <w:rPr/>
      </w:pPr>
      <w:r>
        <w:rPr/>
        <w:t>Cube facturará mensualmente sus propios servicios de administración conforme a la legislación fiscal aplicable.</w:t>
      </w:r>
    </w:p>
    <w:p>
      <w:pPr>
        <w:pStyle w:val="normal1"/>
        <w:spacing w:lineRule="auto" w:line="360"/>
        <w:jc w:val="both"/>
        <w:rPr/>
      </w:pPr>
      <w:r>
        <w:rPr/>
      </w:r>
    </w:p>
    <w:p>
      <w:pPr>
        <w:pStyle w:val="normal1"/>
        <w:spacing w:lineRule="auto" w:line="360"/>
        <w:jc w:val="both"/>
        <w:rPr/>
      </w:pPr>
      <w:r>
        <w:rPr/>
        <w:t>El Inversionista reconoce que la figura fiscal elegida puede incidir en la tasa de retorno efectiva acordada. En consecuencia, cualquier cambio de figura fiscal o de régimen tributario podrá conllevar una modificación en la tasa de retorno aplicable, la cual será notificada por el participante hacia Cube con al menos quince días de anticipación con el propósito de que se le haga saber la tasa vigente para dicho régimen. El Inversionista acepta expresamente esta condición y declara que dicha modificación no constituirá incumplimiento de Cube ni generará responsabilidad alguna a su cargo.</w:t>
      </w:r>
    </w:p>
    <w:p>
      <w:pPr>
        <w:pStyle w:val="normal1"/>
        <w:spacing w:lineRule="auto" w:line="360"/>
        <w:jc w:val="both"/>
        <w:rPr/>
      </w:pPr>
      <w:r>
        <w:rPr/>
      </w:r>
    </w:p>
    <w:tbl>
      <w:tblPr>
        <w:tblStyle w:val="Table12"/>
        <w:tblW w:w="9720" w:type="dxa"/>
        <w:jc w:val="start"/>
        <w:tblInd w:w="0" w:type="dxa"/>
        <w:tblLayout w:type="fixed"/>
        <w:tblCellMar>
          <w:top w:w="140" w:type="dxa"/>
          <w:start w:w="280" w:type="dxa"/>
          <w:bottom w:w="140" w:type="dxa"/>
          <w:end w:w="280" w:type="dxa"/>
        </w:tblCellMar>
        <w:tblLook w:val="0400"/>
      </w:tblPr>
      <w:tblGrid>
        <w:gridCol w:w="9720"/>
      </w:tblGrid>
      <w:tr>
        <w:trPr/>
        <w:tc>
          <w:tcPr>
            <w:tcW w:w="9720" w:type="dxa"/>
            <w:tcBorders/>
            <w:shd w:fill="4436C8" w:val="clear"/>
          </w:tcPr>
          <w:p>
            <w:pPr>
              <w:pStyle w:val="normal1"/>
              <w:spacing w:lineRule="auto" w:line="360"/>
              <w:jc w:val="both"/>
              <w:rPr/>
            </w:pPr>
            <w:r>
              <w:rPr>
                <w:b/>
                <w:bCs/>
                <w:color w:val="FFFFFF"/>
              </w:rPr>
              <w:t>NOVENA — Confidencialidad</w:t>
            </w:r>
          </w:p>
        </w:tc>
      </w:tr>
    </w:tbl>
    <w:p>
      <w:pPr>
        <w:pStyle w:val="normal1"/>
        <w:spacing w:lineRule="auto" w:line="360"/>
        <w:jc w:val="both"/>
        <w:rPr/>
      </w:pPr>
      <w:r>
        <w:rPr/>
      </w:r>
    </w:p>
    <w:p>
      <w:pPr>
        <w:pStyle w:val="normal1"/>
        <w:spacing w:lineRule="auto" w:line="360"/>
        <w:jc w:val="both"/>
        <w:rPr/>
      </w:pPr>
      <w:r>
        <w:rPr/>
        <w:t>Toda información a la que las partes tengan acceso en virtud del presente Contrato será considerada estrictamente confidencial, incluyendo sin limitación datos financieros, comerciales y personales del Inversionista y de los deudores, términos y condiciones de las inversiones, estados de cuenta, registros, metodologías y estrategias de Cube.</w:t>
      </w:r>
    </w:p>
    <w:p>
      <w:pPr>
        <w:pStyle w:val="normal1"/>
        <w:spacing w:lineRule="auto" w:line="360"/>
        <w:jc w:val="both"/>
        <w:rPr/>
      </w:pPr>
      <w:r>
        <w:rPr/>
      </w:r>
    </w:p>
    <w:p>
      <w:pPr>
        <w:pStyle w:val="normal1"/>
        <w:spacing w:lineRule="auto" w:line="360"/>
        <w:jc w:val="both"/>
        <w:rPr/>
      </w:pPr>
      <w:r>
        <w:rPr/>
        <w:t>El Inversionista se obliga a no divulgar ni compartir dicha información con terceros, salvo autorización expresa y por escrito de Cube, o cuando la divulgación sea requerida por ley, autoridad competente o resolución judicial. Se exceptúa de esta restricción la consulta con el contador, abogado o asesor financiero personal del Inversionista, quienes quedarán sujetos a la misma obligación de confidencialidad.</w:t>
      </w:r>
    </w:p>
    <w:p>
      <w:pPr>
        <w:pStyle w:val="normal1"/>
        <w:spacing w:lineRule="auto" w:line="360"/>
        <w:jc w:val="both"/>
        <w:rPr/>
      </w:pPr>
      <w:r>
        <w:rPr/>
      </w:r>
    </w:p>
    <w:p>
      <w:pPr>
        <w:pStyle w:val="normal1"/>
        <w:spacing w:lineRule="auto" w:line="360"/>
        <w:jc w:val="both"/>
        <w:rPr/>
      </w:pPr>
      <w:r>
        <w:rPr/>
        <w:t>El Inversionista se obliga asimismo a no utilizar la información confidencial para desarrollar, directa o indirectamente, actividades o negocios que compitan con los de Cube.</w:t>
      </w:r>
    </w:p>
    <w:p>
      <w:pPr>
        <w:pStyle w:val="normal1"/>
        <w:spacing w:lineRule="auto" w:line="360"/>
        <w:jc w:val="both"/>
        <w:rPr/>
      </w:pPr>
      <w:r>
        <w:rPr/>
      </w:r>
    </w:p>
    <w:p>
      <w:pPr>
        <w:pStyle w:val="normal1"/>
        <w:spacing w:lineRule="auto" w:line="360"/>
        <w:jc w:val="both"/>
        <w:rPr/>
      </w:pPr>
      <w:r>
        <w:rPr/>
        <w:t>La obligación de confidencialidad subsistirá indefinidamente después de la terminación del Contrato. Su incumplimiento facultará a Cube a reclamar los daños y perjuicios ocasionados y a ejercer las acciones legales que correspondan.</w:t>
      </w:r>
    </w:p>
    <w:p>
      <w:pPr>
        <w:pStyle w:val="normal1"/>
        <w:spacing w:lineRule="auto" w:line="360"/>
        <w:jc w:val="both"/>
        <w:rPr/>
      </w:pPr>
      <w:r>
        <w:rPr/>
      </w:r>
    </w:p>
    <w:tbl>
      <w:tblPr>
        <w:tblStyle w:val="Table13"/>
        <w:tblW w:w="9720" w:type="dxa"/>
        <w:jc w:val="start"/>
        <w:tblInd w:w="0" w:type="dxa"/>
        <w:tblLayout w:type="fixed"/>
        <w:tblCellMar>
          <w:top w:w="140" w:type="dxa"/>
          <w:start w:w="280" w:type="dxa"/>
          <w:bottom w:w="140" w:type="dxa"/>
          <w:end w:w="280" w:type="dxa"/>
        </w:tblCellMar>
        <w:tblLook w:val="0400"/>
      </w:tblPr>
      <w:tblGrid>
        <w:gridCol w:w="9720"/>
      </w:tblGrid>
      <w:tr>
        <w:trPr/>
        <w:tc>
          <w:tcPr>
            <w:tcW w:w="9720" w:type="dxa"/>
            <w:tcBorders/>
            <w:shd w:fill="4436C8" w:val="clear"/>
          </w:tcPr>
          <w:p>
            <w:pPr>
              <w:pStyle w:val="normal1"/>
              <w:spacing w:lineRule="auto" w:line="360"/>
              <w:jc w:val="both"/>
              <w:rPr/>
            </w:pPr>
            <w:r>
              <w:rPr>
                <w:b/>
                <w:bCs/>
                <w:color w:val="FFFFFF"/>
              </w:rPr>
              <w:t>DÉCIMA — Limitación de responsabilidad</w:t>
            </w:r>
          </w:p>
        </w:tc>
      </w:tr>
    </w:tbl>
    <w:p>
      <w:pPr>
        <w:pStyle w:val="normal1"/>
        <w:spacing w:lineRule="auto" w:line="360"/>
        <w:jc w:val="both"/>
        <w:rPr/>
      </w:pPr>
      <w:r>
        <w:rPr/>
      </w:r>
    </w:p>
    <w:p>
      <w:pPr>
        <w:pStyle w:val="normal1"/>
        <w:spacing w:lineRule="auto" w:line="360"/>
        <w:jc w:val="both"/>
        <w:rPr/>
      </w:pPr>
      <w:r>
        <w:rPr/>
        <w:t>Cube se compromete a administrar diligentemente las inversiones del Inversionista, conforme a los estándares establecidos en el presente Contrato.</w:t>
      </w:r>
    </w:p>
    <w:p>
      <w:pPr>
        <w:pStyle w:val="normal1"/>
        <w:spacing w:lineRule="auto" w:line="360"/>
        <w:jc w:val="both"/>
        <w:rPr/>
      </w:pPr>
      <w:r>
        <w:rPr/>
      </w:r>
    </w:p>
    <w:p>
      <w:pPr>
        <w:pStyle w:val="normal1"/>
        <w:spacing w:lineRule="auto" w:line="360"/>
        <w:jc w:val="both"/>
        <w:rPr/>
      </w:pPr>
      <w:r>
        <w:rPr/>
        <w:t>El Inversionista reconoce que las inversiones realizadas a través de la Plataforma CASH IN están respaldadas por activos reales — vehículos bajo titularidad registral de RDBE, Sociedad Anónima, con garantía mobiliaria inscrita — lo que mitiga los riesgos inherentes a toda inversión en instrumentos de crédito. No obstante, factores externos como el comportamiento individual de los deudores, condiciones de mercado o eventos fuera del control razonable de Cube pueden afectar el resultado de inversiones individuales sin generar responsabilidad para Cube.</w:t>
      </w:r>
    </w:p>
    <w:p>
      <w:pPr>
        <w:pStyle w:val="normal1"/>
        <w:spacing w:lineRule="auto" w:line="360"/>
        <w:jc w:val="both"/>
        <w:rPr/>
      </w:pPr>
      <w:r>
        <w:rPr/>
      </w:r>
    </w:p>
    <w:p>
      <w:pPr>
        <w:pStyle w:val="normal1"/>
        <w:spacing w:lineRule="auto" w:line="360"/>
        <w:jc w:val="both"/>
        <w:rPr/>
      </w:pPr>
      <w:r>
        <w:rPr/>
        <w:t>En consecuencia, el Inversionista mantendrá indemnes a Cube, RDBE, Sociedad Anónima, sus representantes y empresas relacionadas, frente a reclamaciones, daños o gastos que se deriven directamente del incumplimiento o insolvencia de los deudores, o de eventos de caso fortuito o fuerza mayor.</w:t>
      </w:r>
    </w:p>
    <w:p>
      <w:pPr>
        <w:pStyle w:val="normal1"/>
        <w:spacing w:lineRule="auto" w:line="360"/>
        <w:jc w:val="both"/>
        <w:rPr/>
      </w:pPr>
      <w:r>
        <w:rPr/>
      </w:r>
    </w:p>
    <w:p>
      <w:pPr>
        <w:pStyle w:val="normal1"/>
        <w:spacing w:lineRule="auto" w:line="360"/>
        <w:jc w:val="both"/>
        <w:rPr/>
      </w:pPr>
      <w:r>
        <w:rPr/>
        <w:t>Cube responderá frente al Inversionista exclusivamente en caso de dolo o negligencia grave debidamente comprobada en la administración de las inversiones, conforme a los límites establecidos en el Código Civil de Guatemala. Salvo dicho supuesto, la responsabilidad de Cube no se extenderá a daños indirectos o consecuenciales, incluyendo lucro cesante, incobrabilidad de intereses o pérdida de garantías.</w:t>
      </w:r>
    </w:p>
    <w:p>
      <w:pPr>
        <w:pStyle w:val="normal1"/>
        <w:spacing w:lineRule="auto" w:line="360"/>
        <w:jc w:val="both"/>
        <w:rPr/>
      </w:pPr>
      <w:r>
        <w:rPr/>
      </w:r>
    </w:p>
    <w:tbl>
      <w:tblPr>
        <w:tblStyle w:val="Table14"/>
        <w:tblW w:w="9720" w:type="dxa"/>
        <w:jc w:val="start"/>
        <w:tblInd w:w="0" w:type="dxa"/>
        <w:tblLayout w:type="fixed"/>
        <w:tblCellMar>
          <w:top w:w="140" w:type="dxa"/>
          <w:start w:w="280" w:type="dxa"/>
          <w:bottom w:w="140" w:type="dxa"/>
          <w:end w:w="280" w:type="dxa"/>
        </w:tblCellMar>
        <w:tblLook w:val="0400"/>
      </w:tblPr>
      <w:tblGrid>
        <w:gridCol w:w="9720"/>
      </w:tblGrid>
      <w:tr>
        <w:trPr/>
        <w:tc>
          <w:tcPr>
            <w:tcW w:w="9720" w:type="dxa"/>
            <w:tcBorders/>
            <w:shd w:fill="4436C8" w:val="clear"/>
          </w:tcPr>
          <w:p>
            <w:pPr>
              <w:pStyle w:val="normal1"/>
              <w:spacing w:lineRule="auto" w:line="360"/>
              <w:jc w:val="both"/>
              <w:rPr/>
            </w:pPr>
            <w:r>
              <w:rPr>
                <w:b/>
                <w:bCs/>
                <w:color w:val="FFFFFF"/>
              </w:rPr>
              <w:t>DÉCIMA PRIMERA — Resolución de conflictos</w:t>
            </w:r>
          </w:p>
        </w:tc>
      </w:tr>
    </w:tbl>
    <w:p>
      <w:pPr>
        <w:pStyle w:val="normal1"/>
        <w:spacing w:lineRule="auto" w:line="360"/>
        <w:jc w:val="both"/>
        <w:rPr/>
      </w:pPr>
      <w:r>
        <w:rPr/>
      </w:r>
    </w:p>
    <w:p>
      <w:pPr>
        <w:pStyle w:val="normal1"/>
        <w:spacing w:lineRule="auto" w:line="360"/>
        <w:jc w:val="both"/>
        <w:rPr/>
      </w:pPr>
      <w:r>
        <w:rPr/>
        <w:t>Cualquier controversia, disputa o reclamación derivada del presente Contrato, incluyendo su interpretación, ejecución, terminación o incumplimiento, se resolverá conforme al siguiente procedimiento:</w:t>
      </w:r>
    </w:p>
    <w:p>
      <w:pPr>
        <w:pStyle w:val="normal1"/>
        <w:spacing w:lineRule="auto" w:line="360"/>
        <w:jc w:val="both"/>
        <w:rPr/>
      </w:pPr>
      <w:r>
        <w:rPr/>
      </w:r>
    </w:p>
    <w:p>
      <w:pPr>
        <w:pStyle w:val="normal1"/>
        <w:spacing w:lineRule="auto" w:line="360"/>
        <w:jc w:val="both"/>
        <w:rPr/>
      </w:pPr>
      <w:r>
        <w:rPr/>
        <w:t>Las partes intentarán resolver la controversia mediante negociación directa dentro de los treinta días calendario siguientes a la notificación del reclamo. Durante dicho plazo, las partes podrán designar de común acuerdo un mediador para facilitar la solución.</w:t>
      </w:r>
    </w:p>
    <w:p>
      <w:pPr>
        <w:pStyle w:val="normal1"/>
        <w:spacing w:lineRule="auto" w:line="360"/>
        <w:jc w:val="both"/>
        <w:rPr/>
      </w:pPr>
      <w:r>
        <w:rPr/>
      </w:r>
    </w:p>
    <w:p>
      <w:pPr>
        <w:pStyle w:val="normal1"/>
        <w:spacing w:lineRule="auto" w:line="360"/>
        <w:jc w:val="both"/>
        <w:rPr/>
      </w:pPr>
      <w:r>
        <w:rPr/>
        <w:t>Si transcurrido dicho plazo no se alcanza un acuerdo, las partes se someten a la jurisdicción de los Tribunales de Justicia Ordinarios del departamento de Guatemala.</w:t>
      </w:r>
    </w:p>
    <w:p>
      <w:pPr>
        <w:pStyle w:val="normal1"/>
        <w:spacing w:lineRule="auto" w:line="360"/>
        <w:jc w:val="both"/>
        <w:rPr/>
      </w:pPr>
      <w:r>
        <w:rPr/>
      </w:r>
    </w:p>
    <w:tbl>
      <w:tblPr>
        <w:tblStyle w:val="Table15"/>
        <w:tblW w:w="9720" w:type="dxa"/>
        <w:jc w:val="start"/>
        <w:tblInd w:w="0" w:type="dxa"/>
        <w:tblLayout w:type="fixed"/>
        <w:tblCellMar>
          <w:top w:w="140" w:type="dxa"/>
          <w:start w:w="280" w:type="dxa"/>
          <w:bottom w:w="140" w:type="dxa"/>
          <w:end w:w="280" w:type="dxa"/>
        </w:tblCellMar>
        <w:tblLook w:val="0400"/>
      </w:tblPr>
      <w:tblGrid>
        <w:gridCol w:w="9720"/>
      </w:tblGrid>
      <w:tr>
        <w:trPr/>
        <w:tc>
          <w:tcPr>
            <w:tcW w:w="9720" w:type="dxa"/>
            <w:tcBorders/>
            <w:shd w:fill="4436C8" w:val="clear"/>
          </w:tcPr>
          <w:p>
            <w:pPr>
              <w:pStyle w:val="normal1"/>
              <w:spacing w:lineRule="auto" w:line="360"/>
              <w:jc w:val="both"/>
              <w:rPr/>
            </w:pPr>
            <w:r>
              <w:rPr>
                <w:b/>
                <w:bCs/>
                <w:color w:val="FFFFFF"/>
              </w:rPr>
              <w:t>DÉCIMA SEGUNDA — Ley aplicable</w:t>
            </w:r>
          </w:p>
        </w:tc>
      </w:tr>
    </w:tbl>
    <w:p>
      <w:pPr>
        <w:pStyle w:val="normal1"/>
        <w:spacing w:lineRule="auto" w:line="360"/>
        <w:jc w:val="both"/>
        <w:rPr/>
      </w:pPr>
      <w:r>
        <w:rPr/>
      </w:r>
    </w:p>
    <w:p>
      <w:pPr>
        <w:pStyle w:val="normal1"/>
        <w:spacing w:lineRule="auto" w:line="360"/>
        <w:jc w:val="both"/>
        <w:rPr/>
      </w:pPr>
      <w:r>
        <w:rPr/>
        <w:t>El presente Contrato se interpretará y regirá conforme a las leyes vigentes de la República de Guatemala. Para todo lo no regulado expresamente, se aplicarán de manera supletoria las disposiciones del Código Civil y del Código de Comercio de Guatemala que resulten compatibles con la naturaleza del presente instrumento.</w:t>
      </w:r>
    </w:p>
    <w:p>
      <w:pPr>
        <w:pStyle w:val="normal1"/>
        <w:spacing w:lineRule="auto" w:line="360"/>
        <w:jc w:val="both"/>
        <w:rPr/>
      </w:pPr>
      <w:r>
        <w:rPr/>
      </w:r>
    </w:p>
    <w:tbl>
      <w:tblPr>
        <w:tblStyle w:val="Table16"/>
        <w:tblW w:w="9720" w:type="dxa"/>
        <w:jc w:val="start"/>
        <w:tblInd w:w="0" w:type="dxa"/>
        <w:tblLayout w:type="fixed"/>
        <w:tblCellMar>
          <w:top w:w="140" w:type="dxa"/>
          <w:start w:w="280" w:type="dxa"/>
          <w:bottom w:w="140" w:type="dxa"/>
          <w:end w:w="280" w:type="dxa"/>
        </w:tblCellMar>
        <w:tblLook w:val="0400"/>
      </w:tblPr>
      <w:tblGrid>
        <w:gridCol w:w="9720"/>
      </w:tblGrid>
      <w:tr>
        <w:trPr/>
        <w:tc>
          <w:tcPr>
            <w:tcW w:w="9720" w:type="dxa"/>
            <w:tcBorders/>
            <w:shd w:fill="4436C8" w:val="clear"/>
          </w:tcPr>
          <w:p>
            <w:pPr>
              <w:pStyle w:val="normal1"/>
              <w:spacing w:lineRule="auto" w:line="360"/>
              <w:jc w:val="both"/>
              <w:rPr/>
            </w:pPr>
            <w:r>
              <w:rPr>
                <w:b/>
                <w:bCs/>
                <w:color w:val="FFFFFF"/>
              </w:rPr>
              <w:t>DÉCIMA TERCERA — Disposiciones generales</w:t>
            </w:r>
          </w:p>
        </w:tc>
      </w:tr>
    </w:tbl>
    <w:p>
      <w:pPr>
        <w:pStyle w:val="normal1"/>
        <w:spacing w:lineRule="auto" w:line="360"/>
        <w:jc w:val="both"/>
        <w:rPr/>
      </w:pPr>
      <w:r>
        <w:rPr/>
      </w:r>
    </w:p>
    <w:p>
      <w:pPr>
        <w:pStyle w:val="normal1"/>
        <w:spacing w:lineRule="auto" w:line="360"/>
        <w:ind w:hanging="0" w:start="200"/>
        <w:jc w:val="both"/>
        <w:rPr/>
      </w:pPr>
      <w:r>
        <w:rPr>
          <w:b/>
          <w:bCs/>
          <w:color w:val="5B4FCF"/>
        </w:rPr>
        <w:t xml:space="preserve">a)  </w:t>
      </w:r>
      <w:r>
        <w:rPr>
          <w:b/>
          <w:bCs/>
        </w:rPr>
        <w:t>Validez parcial</w:t>
      </w:r>
    </w:p>
    <w:p>
      <w:pPr>
        <w:pStyle w:val="normal1"/>
        <w:spacing w:lineRule="auto" w:line="360"/>
        <w:jc w:val="both"/>
        <w:rPr/>
      </w:pPr>
      <w:r>
        <w:rPr/>
        <w:t>Si alguna disposición del presente Contrato fuera declarada nula o inválida, ello no afectará la validez del resto del documento, el cual continuará siendo plenamente vigente y obligatorio para ambas partes.</w:t>
      </w:r>
    </w:p>
    <w:p>
      <w:pPr>
        <w:pStyle w:val="normal1"/>
        <w:spacing w:lineRule="auto" w:line="360"/>
        <w:jc w:val="both"/>
        <w:rPr/>
      </w:pPr>
      <w:r>
        <w:rPr/>
      </w:r>
    </w:p>
    <w:p>
      <w:pPr>
        <w:pStyle w:val="normal1"/>
        <w:spacing w:lineRule="auto" w:line="360"/>
        <w:ind w:hanging="0" w:start="200"/>
        <w:jc w:val="both"/>
        <w:rPr/>
      </w:pPr>
      <w:r>
        <w:rPr>
          <w:b/>
          <w:bCs/>
          <w:color w:val="5B4FCF"/>
        </w:rPr>
        <w:t xml:space="preserve">b)  </w:t>
      </w:r>
      <w:r>
        <w:rPr>
          <w:b/>
          <w:bCs/>
        </w:rPr>
        <w:t>Modificaciones</w:t>
      </w:r>
    </w:p>
    <w:p>
      <w:pPr>
        <w:pStyle w:val="normal1"/>
        <w:spacing w:lineRule="auto" w:line="360"/>
        <w:jc w:val="both"/>
        <w:rPr/>
      </w:pPr>
      <w:r>
        <w:rPr/>
        <w:t>Cualquier modificación al presente Contrato requerirá acuerdo escrito suscrito por ambas partes. Las condiciones comerciales establecidas en la cláusula sexta podrán actualizarse mediante addendum simple sin necesidad de modificar el resto del Contrato.</w:t>
      </w:r>
    </w:p>
    <w:p>
      <w:pPr>
        <w:pStyle w:val="normal1"/>
        <w:spacing w:lineRule="auto" w:line="360"/>
        <w:jc w:val="both"/>
        <w:rPr/>
      </w:pPr>
      <w:r>
        <w:rPr/>
      </w:r>
    </w:p>
    <w:p>
      <w:pPr>
        <w:pStyle w:val="normal1"/>
        <w:spacing w:lineRule="auto" w:line="360"/>
        <w:ind w:hanging="0" w:start="200"/>
        <w:jc w:val="both"/>
        <w:rPr/>
      </w:pPr>
      <w:r>
        <w:rPr>
          <w:b/>
          <w:bCs/>
          <w:color w:val="5B4FCF"/>
        </w:rPr>
        <w:t xml:space="preserve">c)  </w:t>
      </w:r>
      <w:r>
        <w:rPr>
          <w:b/>
          <w:bCs/>
        </w:rPr>
        <w:t>Documentos integrantes</w:t>
      </w:r>
    </w:p>
    <w:p>
      <w:pPr>
        <w:pStyle w:val="normal1"/>
        <w:spacing w:lineRule="auto" w:line="360"/>
        <w:jc w:val="both"/>
        <w:rPr/>
      </w:pPr>
      <w:r>
        <w:rPr/>
        <w:t>Forman parte integrante del presente Contrato todos los anexos, instrumentos individuales y cartas de instrucción suscritos por las partes en el marco de este.</w:t>
      </w:r>
    </w:p>
    <w:p>
      <w:pPr>
        <w:pStyle w:val="normal1"/>
        <w:spacing w:lineRule="auto" w:line="360"/>
        <w:jc w:val="both"/>
        <w:rPr/>
      </w:pPr>
      <w:r>
        <w:rPr/>
      </w:r>
    </w:p>
    <w:p>
      <w:pPr>
        <w:pStyle w:val="normal1"/>
        <w:spacing w:lineRule="auto" w:line="360"/>
        <w:ind w:hanging="0" w:start="200"/>
        <w:jc w:val="both"/>
        <w:rPr/>
      </w:pPr>
      <w:r>
        <w:rPr>
          <w:b/>
          <w:bCs/>
          <w:color w:val="5B4FCF"/>
        </w:rPr>
        <w:t xml:space="preserve">d)  </w:t>
      </w:r>
      <w:r>
        <w:rPr>
          <w:b/>
          <w:bCs/>
        </w:rPr>
        <w:t>Notificaciones</w:t>
      </w:r>
    </w:p>
    <w:p>
      <w:pPr>
        <w:pStyle w:val="normal1"/>
        <w:spacing w:lineRule="auto" w:line="360"/>
        <w:jc w:val="both"/>
        <w:rPr/>
      </w:pPr>
      <w:r>
        <w:rPr/>
        <w:t>Toda notificación entre las partes se realizará por escrito, pudiendo utilizarse correo electrónico a las direcciones registradas por cada parte, con acuse de recibo.</w:t>
      </w:r>
    </w:p>
    <w:p>
      <w:pPr>
        <w:pStyle w:val="normal1"/>
        <w:spacing w:lineRule="auto" w:line="360"/>
        <w:jc w:val="both"/>
        <w:rPr/>
      </w:pPr>
      <w:r>
        <w:rPr/>
      </w:r>
    </w:p>
    <w:tbl>
      <w:tblPr>
        <w:tblStyle w:val="Table17"/>
        <w:tblW w:w="9720" w:type="dxa"/>
        <w:jc w:val="start"/>
        <w:tblInd w:w="0" w:type="dxa"/>
        <w:tblLayout w:type="fixed"/>
        <w:tblCellMar>
          <w:top w:w="140" w:type="dxa"/>
          <w:start w:w="280" w:type="dxa"/>
          <w:bottom w:w="140" w:type="dxa"/>
          <w:end w:w="280" w:type="dxa"/>
        </w:tblCellMar>
        <w:tblLook w:val="0400"/>
      </w:tblPr>
      <w:tblGrid>
        <w:gridCol w:w="9720"/>
      </w:tblGrid>
      <w:tr>
        <w:trPr/>
        <w:tc>
          <w:tcPr>
            <w:tcW w:w="9720" w:type="dxa"/>
            <w:tcBorders/>
            <w:shd w:fill="4436C8" w:val="clear"/>
          </w:tcPr>
          <w:p>
            <w:pPr>
              <w:pStyle w:val="normal1"/>
              <w:spacing w:lineRule="auto" w:line="360"/>
              <w:jc w:val="both"/>
              <w:rPr/>
            </w:pPr>
            <w:r>
              <w:rPr>
                <w:b/>
                <w:bCs/>
                <w:color w:val="FFFFFF"/>
              </w:rPr>
              <w:t>DÉCIMA CUARTA — Aceptación y conformidad</w:t>
            </w:r>
          </w:p>
        </w:tc>
      </w:tr>
    </w:tbl>
    <w:p>
      <w:pPr>
        <w:pStyle w:val="normal1"/>
        <w:spacing w:lineRule="auto" w:line="360"/>
        <w:jc w:val="both"/>
        <w:rPr/>
      </w:pPr>
      <w:r>
        <w:rPr/>
      </w:r>
    </w:p>
    <w:p>
      <w:pPr>
        <w:pStyle w:val="normal1"/>
        <w:spacing w:lineRule="auto" w:line="360"/>
        <w:jc w:val="both"/>
        <w:rPr/>
      </w:pPr>
      <w:r>
        <w:rPr/>
        <w:t xml:space="preserve">Los comparecientes, en las calidades con que actuamos, declaramos haber leído íntegramente el presente Contrato, estar bien impuestos de su contenido, objeto, validez y efectos legales, y aceptamos, ratificamos y firmamos en la ciudad de Guatemala, el </w:t>
      </w:r>
      <w:sdt>
        <w:sdtPr>
          <w:tag w:val="goog_rdk_2"/>
          <w:id w:val="1142949382"/>
        </w:sdtPr>
        <w:sdtContent>
          <w:r>
            <w:rPr/>
          </w:r>
          <w:r>
            <w:rPr/>
          </w:r>
        </w:sdtContent>
      </w:sdt>
      <w:r>
        <w:rPr/>
        <w:t>{diaTexto} de {mesTexto} de dos mil {anoTexto}.</w:t>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r>
    </w:p>
    <w:tbl>
      <w:tblPr>
        <w:tblStyle w:val="Table18"/>
        <w:tblW w:w="9720" w:type="dxa"/>
        <w:jc w:val="start"/>
        <w:tblInd w:w="0" w:type="dxa"/>
        <w:tblLayout w:type="fixed"/>
        <w:tblCellMar>
          <w:top w:w="0" w:type="dxa"/>
          <w:start w:w="108" w:type="dxa"/>
          <w:bottom w:w="0" w:type="dxa"/>
          <w:end w:w="108" w:type="dxa"/>
        </w:tblCellMar>
        <w:tblLook w:val="0400"/>
      </w:tblPr>
      <w:tblGrid>
        <w:gridCol w:w="4500"/>
        <w:gridCol w:w="718"/>
        <w:gridCol w:w="4502"/>
      </w:tblGrid>
      <w:tr>
        <w:trPr/>
        <w:tc>
          <w:tcPr>
            <w:tcW w:w="4500" w:type="dxa"/>
            <w:tcBorders/>
          </w:tcPr>
          <w:p>
            <w:pPr>
              <w:pStyle w:val="normal1"/>
              <w:pBdr>
                <w:bottom w:val="single" w:sz="4" w:space="0" w:color="5B4FCF"/>
              </w:pBdr>
              <w:spacing w:lineRule="auto" w:line="360"/>
              <w:jc w:val="both"/>
              <w:rPr/>
            </w:pPr>
            <w:r>
              <w:rPr/>
              <w:t xml:space="preserve"> </w:t>
            </w:r>
          </w:p>
          <w:p>
            <w:pPr>
              <w:pStyle w:val="normal1"/>
              <w:spacing w:lineRule="auto" w:line="360"/>
              <w:jc w:val="both"/>
              <w:rPr/>
            </w:pPr>
            <w:r>
              <w:rPr>
                <w:b/>
                <w:bCs/>
                <w:color w:val="5B4FCF"/>
              </w:rPr>
              <w:t>CUBE INVESTMENTS, S.A.</w:t>
            </w:r>
          </w:p>
          <w:p>
            <w:pPr>
              <w:pStyle w:val="normal1"/>
              <w:spacing w:lineRule="auto" w:line="360"/>
              <w:jc w:val="both"/>
              <w:rPr/>
            </w:pPr>
            <w:r>
              <w:rPr>
                <w:color w:val="8888AA"/>
              </w:rPr>
              <w:t>José Andrés Asensio Hernández</w:t>
            </w:r>
          </w:p>
          <w:p>
            <w:pPr>
              <w:pStyle w:val="normal1"/>
              <w:spacing w:lineRule="auto" w:line="360"/>
              <w:jc w:val="both"/>
              <w:rPr/>
            </w:pPr>
            <w:r>
              <w:rPr>
                <w:color w:val="8888AA"/>
              </w:rPr>
              <w:t>Administrador Único y Representante Legal</w:t>
            </w:r>
          </w:p>
        </w:tc>
        <w:tc>
          <w:tcPr>
            <w:tcW w:w="718" w:type="dxa"/>
            <w:tcBorders/>
          </w:tcPr>
          <w:p>
            <w:pPr>
              <w:pStyle w:val="normal1"/>
              <w:spacing w:lineRule="auto" w:line="360"/>
              <w:jc w:val="both"/>
              <w:rPr/>
            </w:pPr>
            <w:r>
              <w:rPr/>
            </w:r>
          </w:p>
        </w:tc>
        <w:tc>
          <w:tcPr>
            <w:tcW w:w="4502" w:type="dxa"/>
            <w:tcBorders/>
          </w:tcPr>
          <w:p>
            <w:pPr>
              <w:pStyle w:val="normal1"/>
              <w:pBdr>
                <w:bottom w:val="single" w:sz="4" w:space="0" w:color="5B4FCF"/>
              </w:pBdr>
              <w:spacing w:lineRule="auto" w:line="360"/>
              <w:jc w:val="both"/>
              <w:rPr/>
            </w:pPr>
            <w:r>
              <w:rPr/>
              <w:t xml:space="preserve"> </w:t>
            </w:r>
          </w:p>
          <w:p>
            <w:pPr>
              <w:pStyle w:val="normal1"/>
              <w:spacing w:lineRule="auto" w:line="360"/>
              <w:jc w:val="both"/>
              <w:rPr/>
            </w:pPr>
            <w:sdt>
              <w:sdtPr>
                <w:tag w:val="goog_rdk_3"/>
                <w:id w:val="1123527439"/>
              </w:sdtPr>
              <w:sdtContent>
                <w:r>
                  <w:rPr/>
                </w:r>
                <w:r>
                  <w:rPr/>
                </w:r>
              </w:sdtContent>
            </w:sdt>
            <w:r>
              <w:rPr>
                <w:b/>
                <w:bCs/>
                <w:color w:val="5B4FCF"/>
              </w:rPr>
              <w:t>EL INVERSIONISTA</w:t>
            </w:r>
          </w:p>
          <w:p>
            <w:pPr>
              <w:pStyle w:val="normal1"/>
              <w:spacing w:lineRule="auto" w:line="360"/>
              <w:jc w:val="both"/>
              <w:rPr/>
            </w:pPr>
            <w:r>
              <w:rPr>
                <w:color w:val="8888AA"/>
              </w:rPr>
              <w:t>{nombreCompleto}</w:t>
            </w:r>
          </w:p>
          <w:p>
            <w:pPr>
              <w:pStyle w:val="normal1"/>
              <w:spacing w:lineRule="auto" w:line="360"/>
              <w:jc w:val="both"/>
              <w:rPr/>
            </w:pPr>
            <w:r>
              <w:rPr>
                <w:color w:val="8888AA"/>
              </w:rPr>
              <w:t>{dpi}</w:t>
            </w:r>
          </w:p>
        </w:tc>
      </w:tr>
    </w:tbl>
    <w:p>
      <w:pPr>
        <w:pStyle w:val="normal1"/>
        <w:spacing w:lineRule="auto" w:line="360"/>
        <w:jc w:val="both"/>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20160"/>
      <w:pgMar w:left="1259" w:right="1259" w:gutter="0" w:header="708" w:top="1559" w:footer="708" w:bottom="107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4" w:color="DDDDF5"/>
      </w:pBdr>
      <w:jc w:val="center"/>
      <w:rPr/>
    </w:pPr>
    <w:r>
      <w:rPr>
        <w:color w:val="8888AA"/>
        <w:sz w:val="16"/>
        <w:szCs w:val="16"/>
      </w:rPr>
      <w:t xml:space="preserve">Cube Investments, S.A.  ·  CASH IN  ·  Página </w:t>
    </w:r>
    <w:r>
      <w:rPr/>
      <w:fldChar w:fldCharType="begin"/>
    </w:r>
    <w:r>
      <w:rPr/>
      <w:instrText xml:space="preserve"> PAGE </w:instrText>
    </w:r>
    <w:r>
      <w:rPr/>
      <w:fldChar w:fldCharType="separate"/>
    </w:r>
    <w:r>
      <w:rPr/>
      <w:t>8</w:t>
    </w:r>
    <w:r>
      <w:rPr/>
      <w:fldChar w:fldCharType="end"/>
    </w:r>
    <w:r>
      <w:rPr>
        <w:color w:val="8888AA"/>
        <w:sz w:val="16"/>
        <w:szCs w:val="16"/>
      </w:rPr>
      <w:t xml:space="preserve"> de </w:t>
    </w:r>
    <w:r>
      <w:rPr/>
      <w:fldChar w:fldCharType="begin"/>
    </w:r>
    <w:r>
      <w:rPr/>
      <w:instrText xml:space="preserve"> NUMPAGES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4" w:color="DDDDF5"/>
      </w:pBdr>
      <w:jc w:val="center"/>
      <w:rPr/>
    </w:pPr>
    <w:r>
      <w:rPr>
        <w:color w:val="8888AA"/>
        <w:sz w:val="16"/>
        <w:szCs w:val="16"/>
      </w:rPr>
      <w:t xml:space="preserve">Cube Investments, S.A.  ·  CASH IN  ·  Página </w:t>
    </w:r>
    <w:r>
      <w:rPr/>
      <w:fldChar w:fldCharType="begin"/>
    </w:r>
    <w:r>
      <w:rPr/>
      <w:instrText xml:space="preserve"> PAGE </w:instrText>
    </w:r>
    <w:r>
      <w:rPr/>
      <w:fldChar w:fldCharType="separate"/>
    </w:r>
    <w:r>
      <w:rPr/>
      <w:t>8</w:t>
    </w:r>
    <w:r>
      <w:rPr/>
      <w:fldChar w:fldCharType="end"/>
    </w:r>
    <w:r>
      <w:rPr>
        <w:color w:val="8888AA"/>
        <w:sz w:val="16"/>
        <w:szCs w:val="16"/>
      </w:rPr>
      <w:t xml:space="preserve"> de </w:t>
    </w:r>
    <w:r>
      <w:rPr/>
      <w:fldChar w:fldCharType="begin"/>
    </w:r>
    <w:r>
      <w:rPr/>
      <w:instrText xml:space="preserve"> NUMPAGES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6" w:color="5B4FCF"/>
      </w:pBdr>
      <w:rPr>
        <w:color w:val="8888AA"/>
        <w:sz w:val="16"/>
        <w:szCs w:val="16"/>
      </w:rPr>
    </w:pPr>
    <w:r>
      <w:drawing>
        <wp:anchor distT="0" distB="0" distL="0" distR="0" simplePos="0" relativeHeight="9" behindDoc="1" locked="0" layoutInCell="0" allowOverlap="1">
          <wp:simplePos x="0" y="0"/>
          <wp:positionH relativeFrom="page">
            <wp:posOffset>685165</wp:posOffset>
          </wp:positionH>
          <wp:positionV relativeFrom="page">
            <wp:posOffset>300355</wp:posOffset>
          </wp:positionV>
          <wp:extent cx="1182370" cy="450215"/>
          <wp:effectExtent l="0" t="0" r="0" b="0"/>
          <wp:wrapNone/>
          <wp:docPr id="2"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pic:cNvPicPr>
                    <a:picLocks noChangeAspect="1" noChangeArrowheads="1"/>
                  </pic:cNvPicPr>
                </pic:nvPicPr>
                <pic:blipFill>
                  <a:blip r:embed="rId1"/>
                  <a:stretch>
                    <a:fillRect/>
                  </a:stretch>
                </pic:blipFill>
                <pic:spPr bwMode="auto">
                  <a:xfrm>
                    <a:off x="0" y="0"/>
                    <a:ext cx="1182370" cy="450215"/>
                  </a:xfrm>
                  <a:prstGeom prst="rect">
                    <a:avLst/>
                  </a:prstGeom>
                  <a:noFill/>
                </pic:spPr>
              </pic:pic>
            </a:graphicData>
          </a:graphic>
        </wp:anchor>
      </w:drawing>
    </w:r>
    <w:r>
      <w:rPr>
        <w:color w:val="8888AA"/>
        <w:sz w:val="16"/>
        <w:szCs w:val="16"/>
      </w:rPr>
      <w:t xml:space="preserve">                                        </w:t>
    </w:r>
    <w:r>
      <w:rPr>
        <w:color w:val="8888AA"/>
        <w:sz w:val="16"/>
        <w:szCs w:val="16"/>
      </w:rPr>
      <w:t>·  Contrato de Inversión y Administración de Cartera  ·  Confidencial</w:t>
    </w:r>
  </w:p>
  <w:p>
    <w:pPr>
      <w:pStyle w:val="normal1"/>
      <w:pBdr>
        <w:bottom w:val="single" w:sz="4" w:space="6" w:color="5B4FCF"/>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6" w:color="5B4FCF"/>
      </w:pBdr>
      <w:rPr>
        <w:color w:val="8888AA"/>
        <w:sz w:val="16"/>
        <w:szCs w:val="16"/>
      </w:rPr>
    </w:pPr>
    <w:r>
      <w:drawing>
        <wp:anchor distT="0" distB="0" distL="0" distR="0" simplePos="0" relativeHeight="9" behindDoc="1" locked="0" layoutInCell="0" allowOverlap="1">
          <wp:simplePos x="0" y="0"/>
          <wp:positionH relativeFrom="page">
            <wp:posOffset>685165</wp:posOffset>
          </wp:positionH>
          <wp:positionV relativeFrom="page">
            <wp:posOffset>300355</wp:posOffset>
          </wp:positionV>
          <wp:extent cx="1182370" cy="450215"/>
          <wp:effectExtent l="0" t="0" r="0" b="0"/>
          <wp:wrapNone/>
          <wp:docPr id="3"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g"/>
                  <pic:cNvPicPr>
                    <a:picLocks noChangeAspect="1" noChangeArrowheads="1"/>
                  </pic:cNvPicPr>
                </pic:nvPicPr>
                <pic:blipFill>
                  <a:blip r:embed="rId1"/>
                  <a:stretch>
                    <a:fillRect/>
                  </a:stretch>
                </pic:blipFill>
                <pic:spPr bwMode="auto">
                  <a:xfrm>
                    <a:off x="0" y="0"/>
                    <a:ext cx="1182370" cy="450215"/>
                  </a:xfrm>
                  <a:prstGeom prst="rect">
                    <a:avLst/>
                  </a:prstGeom>
                  <a:noFill/>
                </pic:spPr>
              </pic:pic>
            </a:graphicData>
          </a:graphic>
        </wp:anchor>
      </w:drawing>
    </w:r>
    <w:r>
      <w:rPr>
        <w:color w:val="8888AA"/>
        <w:sz w:val="16"/>
        <w:szCs w:val="16"/>
      </w:rPr>
      <w:t xml:space="preserve">                                        </w:t>
    </w:r>
    <w:r>
      <w:rPr>
        <w:color w:val="8888AA"/>
        <w:sz w:val="16"/>
        <w:szCs w:val="16"/>
      </w:rPr>
      <w:t>·  Contrato de Inversión y Administración de Cartera  ·  Confidencial</w:t>
    </w:r>
  </w:p>
  <w:p>
    <w:pPr>
      <w:pStyle w:val="normal1"/>
      <w:pBdr>
        <w:bottom w:val="single" w:sz="4" w:space="6" w:color="5B4FCF"/>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80" w:hanging="24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E1E3A"/>
        <w:lang w:val="es-G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1E1E3A"/>
      <w:kern w:val="0"/>
      <w:sz w:val="20"/>
      <w:szCs w:val="20"/>
      <w:lang w:val="es-GT" w:eastAsia="zh-CN" w:bidi="hi-IN"/>
    </w:rPr>
  </w:style>
  <w:style w:type="paragraph" w:styleId="Heading1">
    <w:name w:val="heading 1"/>
    <w:basedOn w:val="normal1"/>
    <w:next w:val="normal1"/>
    <w:qFormat/>
    <w:pPr>
      <w:keepNext w:val="false"/>
      <w:keepLines w:val="false"/>
      <w:pageBreakBefore w:val="false"/>
      <w:widowControl/>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shd w:val="clear" w:fill="auto"/>
      <w:spacing w:lineRule="auto" w:line="240" w:before="0" w:after="0"/>
      <w:ind w:hanging="0" w:start="0" w:end="0"/>
      <w:jc w:val="start"/>
    </w:pPr>
    <w:rPr>
      <w:rFonts w:ascii="Arial" w:hAnsi="Arial" w:eastAsia="Arial" w:cs="Arial"/>
      <w:b w:val="false"/>
      <w:bCs w:val="false"/>
      <w:i/>
      <w:iCs/>
      <w:caps w:val="false"/>
      <w:smallCaps w:val="false"/>
      <w:strike w:val="false"/>
      <w:dstrike w:val="false"/>
      <w:color w:val="2E74B5"/>
      <w:position w:val="0"/>
      <w:sz w:val="20"/>
      <w:szCs w:val="20"/>
      <w:u w:val="none"/>
      <w:shd w:fill="auto" w:val="clear"/>
      <w:vertAlign w:val="baseline"/>
    </w:rPr>
  </w:style>
  <w:style w:type="paragraph" w:styleId="Heading5">
    <w:name w:val="heading 5"/>
    <w:basedOn w:val="normal1"/>
    <w:next w:val="normal1"/>
    <w:qFormat/>
    <w:pPr>
      <w:keepNext w:val="false"/>
      <w:keepLines w:val="false"/>
      <w:pageBreakBefore w:val="false"/>
      <w:widowControl/>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20"/>
      <w:szCs w:val="20"/>
      <w:u w:val="none"/>
      <w:shd w:fill="auto" w:val="clear"/>
      <w:vertAlign w:val="baseline"/>
    </w:rPr>
  </w:style>
  <w:style w:type="paragraph" w:styleId="Heading6">
    <w:name w:val="heading 6"/>
    <w:basedOn w:val="normal1"/>
    <w:next w:val="normal1"/>
    <w:qFormat/>
    <w:pPr>
      <w:keepNext w:val="false"/>
      <w:keepLines w:val="false"/>
      <w:pageBreakBefore w:val="false"/>
      <w:widowControl/>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F4D78"/>
      <w:position w:val="0"/>
      <w:sz w:val="20"/>
      <w:szCs w:val="20"/>
      <w:u w:val="none"/>
      <w:shd w:fill="auto" w:val="clear"/>
      <w:vertAlign w:val="baselin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normal1" w:default="1">
    <w:name w:val="normal1"/>
    <w:qFormat/>
    <w:pPr>
      <w:widowControl/>
      <w:suppressAutoHyphens w:val="true"/>
      <w:bidi w:val="0"/>
      <w:spacing w:before="0" w:after="0"/>
      <w:jc w:val="start"/>
    </w:pPr>
    <w:rPr>
      <w:rFonts w:ascii="Arial" w:hAnsi="Arial" w:eastAsia="Arial" w:cs="Arial"/>
      <w:color w:val="1E1E3A"/>
      <w:kern w:val="0"/>
      <w:sz w:val="20"/>
      <w:szCs w:val="20"/>
      <w:lang w:val="es-GT" w:eastAsia="zh-CN" w:bidi="hi-IN"/>
    </w:rPr>
  </w:style>
  <w:style w:type="paragraph" w:styleId="Title">
    <w:name w:val="Title"/>
    <w:basedOn w:val="normal1"/>
    <w:next w:val="normal1"/>
    <w:qFormat/>
    <w:pPr>
      <w:keepNext w:val="false"/>
      <w:keepLines w:val="false"/>
      <w:pageBreakBefore w:val="false"/>
      <w:widowControl/>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E1E3A"/>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Cabeceraypieuser"/>
    <w:pPr/>
    <w:rPr/>
  </w:style>
  <w:style w:type="paragraph" w:styleId="Footer">
    <w:name w:val="footer"/>
    <w:basedOn w:val="Cabeceraypieuser"/>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hj4yExvgkqK2UtcDrMoKV1oWtlw==">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10</TotalTime>
  <Application>LibreOffice/26.2.4.2$Linux_X86_64 LibreOffice_project/620$Build-2</Application>
  <AppVersion>15.0000</AppVersion>
  <Pages>8</Pages>
  <Words>3380</Words>
  <Characters>20043</Characters>
  <CharactersWithSpaces>23428</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es-GT</dc:language>
  <cp:lastModifiedBy/>
  <dcterms:modified xsi:type="dcterms:W3CDTF">2026-07-23T11:48:59Z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