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header2.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right="361"/>
        <w:jc w:val="center"/>
        <w:rPr>
          <w:rFonts w:ascii="Quattrocento Sans" w:hAnsi="Quattrocento Sans" w:eastAsia="Quattrocento Sans" w:cs="Quattrocento Sans"/>
          <w:b/>
          <w:bCs/>
          <w:sz w:val="20"/>
          <w:szCs w:val="20"/>
        </w:rPr>
      </w:pPr>
      <w:r>
        <w:rPr>
          <w:rFonts w:eastAsia="Quattrocento Sans" w:cs="Quattrocento Sans"/>
          <w:b/>
          <w:bCs/>
          <w:sz w:val="20"/>
          <w:szCs w:val="20"/>
        </w:rPr>
        <w:t>ACUERDO PRIVADO DE INVERSIÓN</w:t>
      </w:r>
    </w:p>
    <w:p>
      <w:pPr>
        <w:pStyle w:val="normal1"/>
        <w:spacing w:lineRule="auto" w:line="240" w:before="1" w:after="0"/>
        <w:rPr>
          <w:rFonts w:ascii="Quattrocento Sans" w:hAnsi="Quattrocento Sans" w:eastAsia="Quattrocento Sans" w:cs="Quattrocento Sans"/>
          <w:b/>
          <w:bCs/>
          <w:color w:val="000000"/>
          <w:sz w:val="20"/>
          <w:szCs w:val="20"/>
        </w:rPr>
      </w:pPr>
      <w:r>
        <w:rPr>
          <w:rFonts w:eastAsia="Quattrocento Sans" w:cs="Quattrocento Sans"/>
          <w:b/>
          <w:bCs/>
          <w:color w:val="000000"/>
          <w:sz w:val="20"/>
          <w:szCs w:val="20"/>
        </w:rPr>
      </w:r>
    </w:p>
    <w:p>
      <w:pPr>
        <w:pStyle w:val="normal1"/>
        <w:tabs>
          <w:tab w:val="clear" w:pos="720"/>
          <w:tab w:val="left" w:pos="4810" w:leader="none"/>
          <w:tab w:val="left" w:pos="6882" w:leader="none"/>
        </w:tabs>
        <w:spacing w:lineRule="auto" w:line="480"/>
        <w:ind w:right="328"/>
        <w:jc w:val="both"/>
        <w:rPr>
          <w:rFonts w:ascii="Quattrocento Sans" w:hAnsi="Quattrocento Sans" w:eastAsia="Quattrocento Sans" w:cs="Quattrocento Sans"/>
          <w:color w:val="000000"/>
          <w:sz w:val="20"/>
          <w:szCs w:val="20"/>
        </w:rPr>
      </w:pPr>
      <w:bookmarkStart w:id="0" w:name="_heading=h.s3hq0yob5r8s"/>
      <w:bookmarkEnd w:id="0"/>
      <w:r>
        <w:rPr>
          <w:rFonts w:eastAsia="Quattrocento Sans" w:cs="Quattrocento Sans"/>
          <w:color w:val="000000"/>
          <w:sz w:val="20"/>
          <w:szCs w:val="20"/>
        </w:rPr>
        <w:t>En la ciudad de Guatemala, departamento de Guatemala, el día</w:t>
      </w:r>
      <w:sdt>
        <w:sdtPr>
          <w:tag w:val="goog_rdk_0"/>
          <w:id w:val="1961838395"/>
        </w:sdtPr>
        <w:sdtContent>
          <w:r>
            <w:rPr>
              <w:rFonts w:eastAsia="Quattrocento Sans" w:cs="Quattrocento Sans"/>
              <w:color w:val="000000"/>
              <w:sz w:val="20"/>
              <w:szCs w:val="20"/>
            </w:rPr>
          </w:r>
          <w:r>
            <w:rPr>
              <w:rFonts w:eastAsia="Quattrocento Sans" w:cs="Quattrocento Sans"/>
              <w:color w:val="000000"/>
              <w:sz w:val="20"/>
              <w:szCs w:val="20"/>
            </w:rPr>
          </w:r>
        </w:sdtContent>
      </w:sdt>
      <w:r>
        <w:rPr>
          <w:rFonts w:eastAsia="Quattrocento Sans" w:cs="Quattrocento Sans"/>
          <w:color w:val="000000"/>
          <w:sz w:val="20"/>
          <w:szCs w:val="20"/>
        </w:rPr>
        <w:t xml:space="preserve"> </w:t>
      </w:r>
      <w:r>
        <w:rPr>
          <w:rFonts w:eastAsia="Quattrocento Sans" w:cs="Quattrocento Sans"/>
          <w:color w:val="000000"/>
          <w:sz w:val="20"/>
          <w:szCs w:val="20"/>
        </w:rPr>
        <w:t>{fechaInicioContrato}, comparecemos, por una parte:</w:t>
      </w:r>
      <w:r>
        <w:rPr>
          <w:rFonts w:eastAsia="Quattrocento Sans" w:cs="Quattrocento Sans"/>
          <w:b/>
          <w:bCs/>
          <w:sz w:val="20"/>
          <w:szCs w:val="20"/>
        </w:rPr>
        <w:t xml:space="preserve"> </w:t>
      </w:r>
      <w:sdt>
        <w:sdtPr>
          <w:tag w:val="goog_rdk_1"/>
          <w:id w:val="-671220623"/>
        </w:sdtPr>
        <w:sdtContent>
          <w:r>
            <w:rPr>
              <w:rFonts w:eastAsia="Quattrocento Sans" w:cs="Quattrocento Sans"/>
              <w:b/>
              <w:bCs/>
              <w:sz w:val="20"/>
              <w:szCs w:val="20"/>
            </w:rPr>
          </w:r>
          <w:r>
            <w:rPr>
              <w:rFonts w:eastAsia="Quattrocento Sans" w:cs="Quattrocento Sans"/>
              <w:b/>
              <w:bCs/>
              <w:sz w:val="20"/>
              <w:szCs w:val="20"/>
            </w:rPr>
          </w:r>
        </w:sdtContent>
      </w:sdt>
      <w:r>
        <w:rPr>
          <w:rFonts w:eastAsia="Quattrocento Sans" w:cs="Quattrocento Sans"/>
          <w:b/>
          <w:bCs/>
          <w:sz w:val="20"/>
          <w:szCs w:val="20"/>
        </w:rPr>
        <w:t>{nombreCompleto}</w:t>
      </w:r>
      <w:r>
        <w:rPr>
          <w:rFonts w:eastAsia="Quattrocento Sans" w:cs="Quattrocento Sans"/>
          <w:b/>
          <w:bCs/>
          <w:sz w:val="20"/>
          <w:szCs w:val="20"/>
        </w:rPr>
        <w:t xml:space="preserve">, </w:t>
      </w:r>
      <w:r>
        <w:rPr>
          <w:rFonts w:eastAsia="Quattrocento Sans" w:cs="Quattrocento Sans"/>
          <w:sz w:val="20"/>
          <w:szCs w:val="20"/>
        </w:rPr>
        <w:t xml:space="preserve">con Documento Personal de Identificación, Código Único de Identificación </w:t>
      </w:r>
      <w:sdt>
        <w:sdtPr>
          <w:tag w:val="goog_rdk_2"/>
          <w:id w:val="-1103161451"/>
        </w:sdtPr>
        <w:sdtContent>
          <w:r>
            <w:rPr>
              <w:rFonts w:eastAsia="Quattrocento Sans" w:cs="Quattrocento Sans"/>
              <w:sz w:val="20"/>
              <w:szCs w:val="20"/>
            </w:rPr>
          </w:r>
          <w:r>
            <w:rPr>
              <w:rFonts w:eastAsia="Quattrocento Sans" w:cs="Quattrocento Sans"/>
              <w:sz w:val="20"/>
              <w:szCs w:val="20"/>
            </w:rPr>
          </w:r>
        </w:sdtContent>
      </w:sdt>
      <w:r>
        <w:rPr>
          <w:rFonts w:eastAsia="Quattrocento Sans" w:cs="Quattrocento Sans"/>
          <w:sz w:val="20"/>
          <w:szCs w:val="20"/>
        </w:rPr>
        <w:t>{dpiTexto}</w:t>
      </w:r>
      <w:r>
        <w:rPr>
          <w:rFonts w:eastAsia="Quattrocento Sans" w:cs="Quattrocento Sans"/>
          <w:sz w:val="20"/>
          <w:szCs w:val="20"/>
        </w:rPr>
        <w:t xml:space="preserve"> extendido por el Registro Nacional de las Personas –RENAP- República de Guatemala Centroamérica, guatemalteco, </w:t>
      </w:r>
      <w:r>
        <w:rPr>
          <w:rFonts w:eastAsia="Quattrocento Sans" w:cs="Quattrocento Sans"/>
          <w:color w:val="000000"/>
          <w:sz w:val="20"/>
          <w:szCs w:val="20"/>
        </w:rPr>
        <w:t xml:space="preserve">comerciante, de este domicilio, Actúo en mi calidad de {responsabilidadInversionista} de la entidad denominada </w:t>
      </w:r>
      <w:r>
        <w:rPr>
          <w:rFonts w:eastAsia="Quattrocento Sans" w:cs="Quattrocento Sans"/>
          <w:b/>
          <w:bCs/>
          <w:color w:val="000000"/>
          <w:sz w:val="20"/>
          <w:szCs w:val="20"/>
        </w:rPr>
        <w:t>{nombreSociedadInversionista}</w:t>
      </w:r>
      <w:r>
        <w:rPr>
          <w:rFonts w:eastAsia="Quattrocento Sans" w:cs="Quattrocento Sans"/>
          <w:color w:val="000000"/>
          <w:sz w:val="20"/>
          <w:szCs w:val="20"/>
        </w:rPr>
        <w:t>, lo que acredito con el Acta Notarial en la que consta mi nombramiento, autorizada en la ciudad de Guatemala el día {fechaAutorizacionActaNombramiento} por el Notario {nombreNotarioActaNombramiento} acta que se encuentra inscrita en el Registro Mercantil General de la República al número de Registro: {numeroRegistroSociedad} Folio: {folioRegistroSociedad}; Libro: {libroRegistroSociedad} de Auxiliares de Comercio (en adelante también referido como la “INVERSIONISTA)</w:t>
      </w:r>
    </w:p>
    <w:p>
      <w:pPr>
        <w:pStyle w:val="normal1"/>
        <w:tabs>
          <w:tab w:val="clear" w:pos="720"/>
          <w:tab w:val="left" w:pos="4529" w:leader="none"/>
          <w:tab w:val="left" w:pos="4951" w:leader="none"/>
          <w:tab w:val="left" w:pos="6161" w:leader="none"/>
          <w:tab w:val="left" w:pos="7236" w:leader="none"/>
          <w:tab w:val="left" w:pos="8711" w:leader="none"/>
        </w:tabs>
        <w:spacing w:lineRule="auto" w:line="480" w:before="2" w:after="0"/>
        <w:ind w:right="286"/>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 xml:space="preserve">Y por la otra parte: </w:t>
      </w:r>
      <w:r>
        <w:rPr>
          <w:rFonts w:eastAsia="Quattrocento Sans" w:cs="Quattrocento Sans"/>
          <w:b/>
          <w:bCs/>
          <w:sz w:val="20"/>
          <w:szCs w:val="20"/>
        </w:rPr>
        <w:t>JOSÉ ANDRES ASENSIO HERNÁNDEZ</w:t>
      </w:r>
      <w:r>
        <w:rPr>
          <w:rFonts w:eastAsia="Quattrocento Sans" w:cs="Quattrocento Sans"/>
          <w:sz w:val="20"/>
          <w:szCs w:val="20"/>
        </w:rPr>
        <w:t xml:space="preserve">, me identifico con Documento Personal de Identificación, Código Único de Identificación dos mil quinientos cincuenta y tres, cero cinco mil cincuenta y dos, cero ciento uno (2553 05052 0101), extendido por el Registro Nacional de las Personas –RENAP- República de Guatemala, Centroamérica. Actúo en mi calidad de </w:t>
      </w:r>
      <w:r>
        <w:rPr>
          <w:rFonts w:eastAsia="Quattrocento Sans" w:cs="Quattrocento Sans"/>
          <w:b/>
          <w:bCs/>
          <w:sz w:val="20"/>
          <w:szCs w:val="20"/>
        </w:rPr>
        <w:t xml:space="preserve">Administrador Único y Representante Legal </w:t>
      </w:r>
      <w:r>
        <w:rPr>
          <w:rFonts w:eastAsia="Quattrocento Sans" w:cs="Quattrocento Sans"/>
          <w:sz w:val="20"/>
          <w:szCs w:val="20"/>
        </w:rPr>
        <w:t xml:space="preserve">de la entidad denominada </w:t>
      </w:r>
      <w:r>
        <w:rPr>
          <w:rFonts w:eastAsia="Quattrocento Sans" w:cs="Quattrocento Sans"/>
          <w:b/>
          <w:bCs/>
          <w:sz w:val="20"/>
          <w:szCs w:val="20"/>
        </w:rPr>
        <w:t>CUBE INVESTMENTS, SOCIEDAD ANÓNIMA</w:t>
      </w:r>
      <w:r>
        <w:rPr>
          <w:rFonts w:eastAsia="Quattrocento Sans" w:cs="Quattrocento Sans"/>
          <w:sz w:val="20"/>
          <w:szCs w:val="20"/>
        </w:rPr>
        <w:t xml:space="preserve">, lo que acredito con el Acta Notarial en la que consta mi nombramiento, autorizada en la ciudad de Guatemala el día veintiuno de septiembre de dos mil veintiséis, por el Notario Arturo Alberto Arroyo Monahan acta que se encuentra inscrita en el Registro Mercantil General de la República al número de Registro: ochocientos sesenta mil ciento ochenta y siete (860187) Folio: doscientos dos (202); Libro: ochocientos sesenta y siete (867) de Auxiliares de Comercio</w:t>
      </w:r>
      <w:r>
        <w:rPr>
          <w:rFonts w:eastAsia="Quattrocento Sans" w:cs="Quattrocento Sans"/>
          <w:color w:val="000000"/>
          <w:sz w:val="20"/>
          <w:szCs w:val="20"/>
        </w:rPr>
        <w:t xml:space="preserve"> quien en el transcurso del</w:t>
      </w:r>
      <w:r>
        <w:rPr>
          <w:rFonts w:eastAsia="Quattrocento Sans" w:cs="Quattrocento Sans"/>
          <w:sz w:val="20"/>
          <w:szCs w:val="20"/>
        </w:rPr>
        <w:t xml:space="preserve"> </w:t>
      </w:r>
      <w:r>
        <w:rPr>
          <w:rFonts w:eastAsia="Quattrocento Sans" w:cs="Quattrocento Sans"/>
          <w:color w:val="000000"/>
          <w:sz w:val="20"/>
          <w:szCs w:val="20"/>
        </w:rPr>
        <w:t>presente documento, podrá denominarse indistintamente como “LA SOCIEDAD”.</w:t>
      </w:r>
    </w:p>
    <w:p>
      <w:pPr>
        <w:pStyle w:val="normal1"/>
        <w:spacing w:lineRule="auto" w:line="480" w:before="1" w:after="0"/>
        <w:ind w:right="330"/>
        <w:jc w:val="both"/>
        <w:rPr>
          <w:rFonts w:ascii="Quattrocento Sans" w:hAnsi="Quattrocento Sans" w:eastAsia="Quattrocento Sans" w:cs="Quattrocento Sans"/>
          <w:color w:val="000000"/>
          <w:sz w:val="20"/>
          <w:szCs w:val="20"/>
          <w:highlight w:val="white"/>
        </w:rPr>
      </w:pPr>
      <w:r>
        <w:rPr>
          <w:rFonts w:eastAsia="Quattrocento Sans" w:cs="Quattrocento Sans"/>
          <w:color w:val="000000"/>
          <w:sz w:val="20"/>
          <w:szCs w:val="20"/>
          <w:highlight w:val="white"/>
        </w:rPr>
        <w:t xml:space="preserve">Para el efecto, exponemos: </w:t>
      </w:r>
      <w:r>
        <w:rPr>
          <w:rFonts w:eastAsia="Quattrocento Sans" w:cs="Quattrocento Sans"/>
          <w:b/>
          <w:bCs/>
          <w:color w:val="000000"/>
          <w:sz w:val="20"/>
          <w:szCs w:val="20"/>
          <w:highlight w:val="white"/>
        </w:rPr>
        <w:t xml:space="preserve">a) </w:t>
      </w:r>
      <w:r>
        <w:rPr>
          <w:rFonts w:eastAsia="Quattrocento Sans" w:cs="Quattrocento Sans"/>
          <w:color w:val="000000"/>
          <w:sz w:val="20"/>
          <w:szCs w:val="20"/>
          <w:highlight w:val="white"/>
        </w:rPr>
        <w:t xml:space="preserve">Que los comparecientes nos encontramos en el libre ejercicio de nuestros derechos civiles; </w:t>
      </w:r>
      <w:r>
        <w:rPr>
          <w:rFonts w:eastAsia="Quattrocento Sans" w:cs="Quattrocento Sans"/>
          <w:b/>
          <w:bCs/>
          <w:color w:val="000000"/>
          <w:sz w:val="20"/>
          <w:szCs w:val="20"/>
          <w:highlight w:val="white"/>
        </w:rPr>
        <w:t xml:space="preserve">b) </w:t>
      </w:r>
      <w:r>
        <w:rPr>
          <w:rFonts w:eastAsia="Quattrocento Sans" w:cs="Quattrocento Sans"/>
          <w:color w:val="000000"/>
          <w:sz w:val="20"/>
          <w:szCs w:val="20"/>
          <w:highlight w:val="white"/>
        </w:rPr>
        <w:t xml:space="preserve">Que tenemos a la vista los documentos con los cuales nos identificamos cada una de las partes, así como los documentos con los cuales se acreditan las representaciones que ejercitan los comparecientes; la cual consideramos ser suficiente para el presente negocio; y </w:t>
      </w:r>
      <w:r>
        <w:rPr>
          <w:rFonts w:eastAsia="Quattrocento Sans" w:cs="Quattrocento Sans"/>
          <w:b/>
          <w:bCs/>
          <w:color w:val="000000"/>
          <w:sz w:val="20"/>
          <w:szCs w:val="20"/>
          <w:highlight w:val="white"/>
        </w:rPr>
        <w:t xml:space="preserve">c) </w:t>
      </w:r>
      <w:r>
        <w:rPr>
          <w:rFonts w:eastAsia="Quattrocento Sans" w:cs="Quattrocento Sans"/>
          <w:color w:val="000000"/>
          <w:sz w:val="20"/>
          <w:szCs w:val="20"/>
          <w:highlight w:val="white"/>
        </w:rPr>
        <w:t xml:space="preserve">y que en forma voluntaria, y siguiendo expresas instrucciones de las sociedades que representan y en representación propia, por este acto otorgamos </w:t>
      </w:r>
      <w:r>
        <w:rPr>
          <w:rFonts w:eastAsia="Quattrocento Sans" w:cs="Quattrocento Sans"/>
          <w:b/>
          <w:bCs/>
          <w:color w:val="000000"/>
          <w:sz w:val="20"/>
          <w:szCs w:val="20"/>
          <w:highlight w:val="white"/>
        </w:rPr>
        <w:t xml:space="preserve">ACUERDO PRIVADO DE INVERSIÓN, </w:t>
      </w:r>
      <w:r>
        <w:rPr>
          <w:rFonts w:eastAsia="Quattrocento Sans" w:cs="Quattrocento Sans"/>
          <w:color w:val="000000"/>
          <w:sz w:val="20"/>
          <w:szCs w:val="20"/>
          <w:highlight w:val="white"/>
        </w:rPr>
        <w:t>el cual queda contenido en los siguientes puntos:</w:t>
      </w:r>
    </w:p>
    <w:p>
      <w:pPr>
        <w:pStyle w:val="normal1"/>
        <w:spacing w:lineRule="auto" w:line="480" w:before="1" w:after="0"/>
        <w:ind w:right="330"/>
        <w:jc w:val="both"/>
        <w:rPr>
          <w:rFonts w:ascii="Quattrocento Sans" w:hAnsi="Quattrocento Sans" w:eastAsia="Quattrocento Sans" w:cs="Quattrocento Sans"/>
          <w:b/>
          <w:bCs/>
          <w:sz w:val="20"/>
          <w:szCs w:val="20"/>
          <w:highlight w:val="white"/>
        </w:rPr>
      </w:pPr>
      <w:r>
        <w:rPr>
          <w:rFonts w:eastAsia="Quattrocento Sans" w:cs="Quattrocento Sans"/>
          <w:b/>
          <w:bCs/>
          <w:sz w:val="20"/>
          <w:szCs w:val="20"/>
          <w:highlight w:val="white"/>
        </w:rPr>
        <w:t xml:space="preserve">DECLARACIONES DE EL INVERSIONISTA; ORIGEN LÍCITO DE FONDOS Y CUMPLIMIENTO AML/CFT. </w:t>
      </w:r>
      <w:r>
        <w:rPr>
          <w:rFonts w:eastAsia="Quattrocento Sans" w:cs="Quattrocento Sans"/>
          <w:sz w:val="20"/>
          <w:szCs w:val="20"/>
          <w:highlight w:val="white"/>
        </w:rPr>
        <w:t>El inversionista declara y garantiza que todos los fondos que entregue o pretenda entregar tienen origen lícito y no provienen ni se relacionan directa o indirectamente con actividades de lavado de dinero u otros activos, financiamiento del terrorismo, crimen organizado, corrupción, fraude, trata, extorsión, tráfico ilícito, narcotráfico u otras actividades ilícitas. El inversionista declara que actúa por cuenta propia y no en nombre de terceros no revelados; que ha informado a la entidad Cube Investments, Sociedad Anónima la identidad de sus beneficiarios finales y se compromete a mantener dicha información veraz, completa y actualizada. Asimismo, declara que ni él ni sus beneficiarios finales, directores o administradores se encuentran incluidos en listas de sanciones nacionales o internacionales (incluyendo ONU, OFAC, UE, Reino Unido u otras equivalentes). El inversionista se compromete a proporcionar oportunamente toda la información y documentación de conozca-a-su-cliente (KYC) que la entidad Cube Investments, Sociedad Anónima le requiera, autorizando la verificación de dichos datos, incluyendo consultas a proveedores externos y bases públicas. La entidad Cube Investments, Sociedad Anónima podrá rechazar fondos, suspender o dar por terminadas las tratativas, abstenerse de compartir información o reportar a las autoridades competentes si, a su criterio razonable, se incumplen estas declaraciones o surgen señales de alerta, lo cual no constituirá incumplimiento de ninguna obligación de confidencialidad. El inversionista mantendrá indemne a la entidad Cube Investments, Sociedad Anónima por daños, costos o sanciones derivados de la falsedad u omisión en las declaraciones anteriores.</w:t>
      </w:r>
    </w:p>
    <w:p>
      <w:pPr>
        <w:pStyle w:val="normal1"/>
        <w:spacing w:lineRule="auto" w:line="480"/>
        <w:ind w:right="330"/>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PRIMERO: </w:t>
      </w:r>
      <w:r>
        <w:rPr>
          <w:rFonts w:eastAsia="Quattrocento Sans" w:cs="Quattrocento Sans"/>
          <w:color w:val="000000"/>
          <w:sz w:val="20"/>
          <w:szCs w:val="20"/>
        </w:rPr>
        <w:t xml:space="preserve">Manifiesta el señor </w:t>
      </w:r>
      <w:r>
        <w:rPr>
          <w:rFonts w:eastAsia="Quattrocento Sans" w:cs="Quattrocento Sans"/>
          <w:b/>
          <w:bCs/>
          <w:color w:val="000000"/>
          <w:sz w:val="20"/>
          <w:szCs w:val="20"/>
        </w:rPr>
        <w:t xml:space="preserve">JOSÉ ANDRÉS ASENSIO HERNÁNDEZ, </w:t>
      </w:r>
      <w:r>
        <w:rPr>
          <w:rFonts w:eastAsia="Quattrocento Sans" w:cs="Quattrocento Sans"/>
          <w:color w:val="000000"/>
          <w:sz w:val="20"/>
          <w:szCs w:val="20"/>
        </w:rPr>
        <w:t xml:space="preserve">en la calidad con que actúa que: su representada a través de su plataforma digital actúa como Agente Administrador de cobro y de cartera gestionando así diversas carteras de varios clientes. Manifiesta adicionalmente el señor </w:t>
      </w:r>
      <w:r>
        <w:rPr>
          <w:rFonts w:eastAsia="Quattrocento Sans" w:cs="Quattrocento Sans"/>
          <w:b/>
          <w:bCs/>
          <w:color w:val="000000"/>
          <w:sz w:val="20"/>
          <w:szCs w:val="20"/>
        </w:rPr>
        <w:t xml:space="preserve">JOSÉ ANDRÉS ASENSIO HERNÁNDEZ </w:t>
      </w:r>
      <w:r>
        <w:rPr>
          <w:rFonts w:eastAsia="Quattrocento Sans" w:cs="Quattrocento Sans"/>
          <w:color w:val="000000"/>
          <w:sz w:val="20"/>
          <w:szCs w:val="20"/>
        </w:rPr>
        <w:t>que su representada tiene un contrato vigente con la empresa RDBE, Sociedad Anónima (la “Garante”) la cual funge como propietaria y adicionalmente presta los servicios de custodia y gestión de uso de los vehículos que son financiados por medio de la Plataforma (como esté término se define más adelante), estando obligada la Garante a otorgar a favor del inversionista la garantía mueble que corresponda sobre los vehículos que el inversionista financie de acuerdo a las condiciones estipuladas en este Acuerdo Privado de Inversión.</w:t>
      </w:r>
    </w:p>
    <w:p>
      <w:pPr>
        <w:pStyle w:val="normal1"/>
        <w:spacing w:lineRule="auto" w:line="480" w:before="3" w:after="0"/>
        <w:ind w:right="330"/>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SEGUNDO: </w:t>
      </w:r>
      <w:r>
        <w:rPr>
          <w:rFonts w:eastAsia="Quattrocento Sans" w:cs="Quattrocento Sans"/>
          <w:color w:val="000000"/>
          <w:sz w:val="20"/>
          <w:szCs w:val="20"/>
        </w:rPr>
        <w:t xml:space="preserve">Por su parte, manifiesta el inversionista, que es de su interés invertir directamente a través de la plataforma propiedad de Cube Investments, Sociedad Anónima, plataforma denominada </w:t>
      </w:r>
      <w:r>
        <w:rPr>
          <w:rFonts w:eastAsia="Quattrocento Sans" w:cs="Quattrocento Sans"/>
          <w:b/>
          <w:bCs/>
          <w:i/>
          <w:iCs/>
          <w:color w:val="000000"/>
          <w:sz w:val="20"/>
          <w:szCs w:val="20"/>
        </w:rPr>
        <w:t xml:space="preserve">“CASH IN”; </w:t>
      </w:r>
      <w:r>
        <w:rPr>
          <w:rFonts w:eastAsia="Quattrocento Sans" w:cs="Quattrocento Sans"/>
          <w:color w:val="000000"/>
          <w:sz w:val="20"/>
          <w:szCs w:val="20"/>
        </w:rPr>
        <w:t>la cual, por este medio declara conocer. En tal sentido, a través de su participación para invertir, se deberá contratar los servicios de la entidad Cube Investments, Sociedad Anónima, a través de las condiciones que se estipularán en el respectivo “</w:t>
      </w:r>
      <w:r>
        <w:rPr>
          <w:rFonts w:eastAsia="Quattrocento Sans" w:cs="Quattrocento Sans"/>
          <w:b/>
          <w:bCs/>
          <w:i/>
          <w:iCs/>
          <w:color w:val="000000"/>
          <w:sz w:val="20"/>
          <w:szCs w:val="20"/>
        </w:rPr>
        <w:t>CONTRATO DE PRESTACIÓN DE SERVICIOS DE RECEPCIÓN DE PAGOS POR CUENTA DE TERCEROS Y</w:t>
      </w:r>
      <w:r>
        <w:rPr>
          <w:rFonts w:eastAsia="Quattrocento Sans" w:cs="Quattrocento Sans"/>
          <w:b/>
          <w:bCs/>
          <w:i/>
          <w:iCs/>
          <w:sz w:val="20"/>
          <w:szCs w:val="20"/>
        </w:rPr>
        <w:t xml:space="preserve"> </w:t>
      </w:r>
      <w:r>
        <w:rPr>
          <w:rFonts w:eastAsia="Quattrocento Sans" w:cs="Quattrocento Sans"/>
          <w:b/>
          <w:bCs/>
          <w:i/>
          <w:iCs/>
          <w:color w:val="000000"/>
          <w:sz w:val="20"/>
          <w:szCs w:val="20"/>
        </w:rPr>
        <w:t>GESTIONES DE COBRANZA</w:t>
      </w:r>
      <w:r>
        <w:rPr>
          <w:rFonts w:eastAsia="Quattrocento Sans" w:cs="Quattrocento Sans"/>
          <w:b/>
          <w:bCs/>
          <w:color w:val="000000"/>
          <w:sz w:val="20"/>
          <w:szCs w:val="20"/>
        </w:rPr>
        <w:t xml:space="preserve">” </w:t>
      </w:r>
      <w:r>
        <w:rPr>
          <w:rFonts w:eastAsia="Quattrocento Sans" w:cs="Quattrocento Sans"/>
          <w:color w:val="000000"/>
          <w:sz w:val="20"/>
          <w:szCs w:val="20"/>
        </w:rPr>
        <w:t>(En adelante simplemente Contrato de Servicios)</w:t>
      </w:r>
      <w:r>
        <w:rPr>
          <w:rFonts w:eastAsia="Quattrocento Sans" w:cs="Quattrocento Sans"/>
          <w:i/>
          <w:iCs/>
          <w:color w:val="000000"/>
          <w:sz w:val="20"/>
          <w:szCs w:val="20"/>
        </w:rPr>
        <w:t xml:space="preserve">. </w:t>
      </w:r>
      <w:r>
        <w:rPr>
          <w:rFonts w:eastAsia="Quattrocento Sans" w:cs="Quattrocento Sans"/>
          <w:color w:val="000000"/>
          <w:sz w:val="20"/>
          <w:szCs w:val="20"/>
        </w:rPr>
        <w:t>No obstante, es de su interés dejar establecido en el presente Acuerdo Privado de Inversión las siguientes estipulaciones que a su vez estarán relacionadas con el Contrato de Servicios antes individualizado. Las partes acuerdan que el presente convenio se regirá por las siguientes condiciones:</w:t>
      </w:r>
    </w:p>
    <w:p>
      <w:pPr>
        <w:pStyle w:val="normal1"/>
        <w:spacing w:lineRule="auto" w:line="480" w:before="3" w:after="0"/>
        <w:ind w:right="330"/>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De la utilización de la plataforma </w:t>
      </w:r>
      <w:r>
        <w:rPr>
          <w:rFonts w:eastAsia="Quattrocento Sans" w:cs="Quattrocento Sans"/>
          <w:b/>
          <w:bCs/>
          <w:i/>
          <w:iCs/>
          <w:color w:val="000000"/>
          <w:sz w:val="20"/>
          <w:szCs w:val="20"/>
        </w:rPr>
        <w:t xml:space="preserve">“CASH IN” </w:t>
      </w:r>
      <w:r>
        <w:rPr>
          <w:rFonts w:eastAsia="Quattrocento Sans" w:cs="Quattrocento Sans"/>
          <w:color w:val="000000"/>
          <w:sz w:val="20"/>
          <w:szCs w:val="20"/>
        </w:rPr>
        <w:t>(en adelante, indistintamente la Plataforma)</w:t>
      </w:r>
      <w:r>
        <w:rPr>
          <w:rFonts w:eastAsia="Quattrocento Sans" w:cs="Quattrocento Sans"/>
          <w:i/>
          <w:iCs/>
          <w:color w:val="000000"/>
          <w:sz w:val="20"/>
          <w:szCs w:val="20"/>
        </w:rPr>
        <w:t xml:space="preserve">: </w:t>
      </w:r>
      <w:r>
        <w:rPr>
          <w:rFonts w:eastAsia="Quattrocento Sans" w:cs="Quattrocento Sans"/>
          <w:color w:val="000000"/>
          <w:sz w:val="20"/>
          <w:szCs w:val="20"/>
        </w:rPr>
        <w:t>El inversionista tendrá a su disposición y alcance la Plataforma con el propósito de elegir a su discreción las inversiones en las cuales decida participar, o bien serán puestas a su disposición oportunamente a través de su ejecutivo de cuenta luego del análisis crediticio de los clientes y la</w:t>
      </w:r>
      <w:r>
        <w:rPr>
          <w:rFonts w:eastAsia="Quattrocento Sans" w:cs="Quattrocento Sans"/>
          <w:sz w:val="20"/>
          <w:szCs w:val="20"/>
        </w:rPr>
        <w:t xml:space="preserve"> </w:t>
      </w:r>
      <w:r>
        <w:rPr>
          <w:rFonts w:eastAsia="Quattrocento Sans" w:cs="Quattrocento Sans"/>
          <w:color w:val="000000"/>
          <w:sz w:val="20"/>
          <w:szCs w:val="20"/>
        </w:rPr>
        <w:t>recomendación respectiva para que el inversionista decida tomarlas o no.</w:t>
      </w:r>
    </w:p>
    <w:p>
      <w:pPr>
        <w:pStyle w:val="normal1"/>
        <w:numPr>
          <w:ilvl w:val="0"/>
          <w:numId w:val="3"/>
        </w:numPr>
        <w:tabs>
          <w:tab w:val="clear" w:pos="720"/>
          <w:tab w:val="left" w:pos="260" w:leader="none"/>
        </w:tabs>
        <w:spacing w:lineRule="auto" w:line="480"/>
        <w:ind w:hanging="0" w:left="0" w:right="330"/>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De la forma y participación en la inversión: </w:t>
      </w:r>
      <w:r>
        <w:rPr>
          <w:rFonts w:eastAsia="Quattrocento Sans" w:cs="Quattrocento Sans"/>
          <w:color w:val="000000"/>
          <w:sz w:val="20"/>
          <w:szCs w:val="20"/>
        </w:rPr>
        <w:t>El inversionista, durante la vigencia del presente Acuerdo, podrá destinar, a su sola discreción, las cantidades dinerarias que considere oportunas a las oportunidades de inversión que le ofrezca la Plataforma y su ejecutivo de cuenta. Dichas inversiones se materializarán únicamente cuando el inversionista decida participar en alguna de las oportunidades que se le presenten.</w:t>
      </w:r>
    </w:p>
    <w:p>
      <w:pPr>
        <w:pStyle w:val="normal1"/>
        <w:spacing w:lineRule="auto" w:line="480"/>
        <w:ind w:right="336"/>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 xml:space="preserve">El monto inicial que el inversionista decida aportar, de conformidad con lo establecido en este Acuerdo, será consignado en una carta suscrita por el propio Inversionista, que se adjuntará como </w:t>
      </w:r>
      <w:r>
        <w:rPr>
          <w:rFonts w:eastAsia="Quattrocento Sans" w:cs="Quattrocento Sans"/>
          <w:b/>
          <w:bCs/>
          <w:color w:val="000000"/>
          <w:sz w:val="20"/>
          <w:szCs w:val="20"/>
        </w:rPr>
        <w:t xml:space="preserve">Anexo 1 </w:t>
      </w:r>
      <w:r>
        <w:rPr>
          <w:rFonts w:eastAsia="Quattrocento Sans" w:cs="Quattrocento Sans"/>
          <w:color w:val="000000"/>
          <w:sz w:val="20"/>
          <w:szCs w:val="20"/>
        </w:rPr>
        <w:t>y formará parte integrante del presente contrato.</w:t>
      </w:r>
    </w:p>
    <w:p>
      <w:pPr>
        <w:pStyle w:val="normal1"/>
        <w:spacing w:lineRule="auto" w:line="475" w:before="2" w:after="0"/>
        <w:ind w:right="334"/>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Respecto a la forma de inversión, el inversionista podrá optar por participar a través de las siguientes modalidades:</w:t>
      </w:r>
    </w:p>
    <w:p>
      <w:pPr>
        <w:pStyle w:val="normal1"/>
        <w:numPr>
          <w:ilvl w:val="1"/>
          <w:numId w:val="3"/>
        </w:numPr>
        <w:tabs>
          <w:tab w:val="clear" w:pos="720"/>
          <w:tab w:val="left" w:pos="392" w:leader="none"/>
        </w:tabs>
        <w:spacing w:lineRule="auto" w:line="240" w:before="5" w:after="0"/>
        <w:ind w:hanging="392" w:left="392"/>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Cesión a su favor de créditos en cartera activa propiedad de la entidad Cube Investments,</w:t>
      </w:r>
    </w:p>
    <w:p>
      <w:pPr>
        <w:pStyle w:val="normal1"/>
        <w:spacing w:lineRule="auto" w:line="240" w:before="1" w:after="0"/>
        <w:rPr>
          <w:rFonts w:ascii="Quattrocento Sans" w:hAnsi="Quattrocento Sans" w:eastAsia="Quattrocento Sans" w:cs="Quattrocento Sans"/>
          <w:color w:val="000000"/>
          <w:sz w:val="20"/>
          <w:szCs w:val="20"/>
        </w:rPr>
      </w:pPr>
      <w:r>
        <w:rPr>
          <w:rFonts w:eastAsia="Quattrocento Sans" w:cs="Quattrocento Sans"/>
          <w:color w:val="000000"/>
          <w:sz w:val="20"/>
          <w:szCs w:val="20"/>
        </w:rPr>
      </w:r>
    </w:p>
    <w:p>
      <w:pPr>
        <w:pStyle w:val="normal1"/>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Sociedad Anónima, y/o</w:t>
      </w:r>
    </w:p>
    <w:p>
      <w:pPr>
        <w:pStyle w:val="normal1"/>
        <w:numPr>
          <w:ilvl w:val="1"/>
          <w:numId w:val="3"/>
        </w:numPr>
        <w:tabs>
          <w:tab w:val="clear" w:pos="720"/>
          <w:tab w:val="left" w:pos="429" w:leader="none"/>
        </w:tabs>
        <w:spacing w:lineRule="auto" w:line="480" w:before="264" w:after="0"/>
        <w:ind w:hanging="0" w:left="0" w:right="336"/>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A través de aportes dinerarios que realice mediante contratos individuales formalizados a su favor, de conformidad con los distintos contratos de reconocimiento de deuda que más adelante se detallan.</w:t>
      </w:r>
    </w:p>
    <w:p>
      <w:pPr>
        <w:pStyle w:val="normal1"/>
        <w:numPr>
          <w:ilvl w:val="0"/>
          <w:numId w:val="3"/>
        </w:numPr>
        <w:tabs>
          <w:tab w:val="clear" w:pos="720"/>
          <w:tab w:val="left" w:pos="240" w:leader="none"/>
        </w:tabs>
        <w:spacing w:lineRule="auto" w:line="480"/>
        <w:ind w:hanging="0" w:left="0" w:right="331"/>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Del proceso de inversión: </w:t>
      </w:r>
      <w:r>
        <w:rPr>
          <w:rFonts w:eastAsia="Quattrocento Sans" w:cs="Quattrocento Sans"/>
          <w:color w:val="000000"/>
          <w:sz w:val="20"/>
          <w:szCs w:val="20"/>
        </w:rPr>
        <w:t xml:space="preserve">El inversionista por el presente medio declara y acepta conocer la estructura y funcionamiento de la plataforma </w:t>
      </w:r>
      <w:r>
        <w:rPr>
          <w:rFonts w:eastAsia="Quattrocento Sans" w:cs="Quattrocento Sans"/>
          <w:b/>
          <w:bCs/>
          <w:i/>
          <w:iCs/>
          <w:color w:val="000000"/>
          <w:sz w:val="20"/>
          <w:szCs w:val="20"/>
        </w:rPr>
        <w:t xml:space="preserve">CASH IN, </w:t>
      </w:r>
      <w:r>
        <w:rPr>
          <w:rFonts w:eastAsia="Quattrocento Sans" w:cs="Quattrocento Sans"/>
          <w:color w:val="000000"/>
          <w:sz w:val="20"/>
          <w:szCs w:val="20"/>
        </w:rPr>
        <w:t>así como acepta conocer el giro de negocio al cual se dedica; en consecuencia, acepta conocer el procedimiento de inversión a través de la Plataforma digital de Cube Investments, Sociedad Anónima, y acepta conocer el proceso de acompañamiento, formalización y de cobro de las inversiones. Por lo cual, acepta colaborar con la entidad Cube Investments, Sociedad Anónima, para facilitar la formalización de cualquier oportunidad de inversión que desee tomar, comprometiéndose para el efecto a firmar los</w:t>
      </w:r>
      <w:r>
        <w:rPr>
          <w:rFonts w:eastAsia="Quattrocento Sans" w:cs="Quattrocento Sans"/>
          <w:sz w:val="20"/>
          <w:szCs w:val="20"/>
        </w:rPr>
        <w:t xml:space="preserve"> </w:t>
      </w:r>
      <w:r>
        <w:rPr>
          <w:rFonts w:eastAsia="Quattrocento Sans" w:cs="Quattrocento Sans"/>
          <w:color w:val="000000"/>
          <w:sz w:val="20"/>
          <w:szCs w:val="20"/>
        </w:rPr>
        <w:t>documentos respectivos que amparen cada una de las inversiones que decida realizar conforme el inciso anterior, siempre que dichos documentos cumplan con las condiciones previamente acordadas entre las partes.</w:t>
      </w:r>
    </w:p>
    <w:p>
      <w:pPr>
        <w:pStyle w:val="normal1"/>
        <w:numPr>
          <w:ilvl w:val="0"/>
          <w:numId w:val="3"/>
        </w:numPr>
        <w:tabs>
          <w:tab w:val="clear" w:pos="720"/>
          <w:tab w:val="left" w:pos="255" w:leader="none"/>
        </w:tabs>
        <w:spacing w:lineRule="auto" w:line="480"/>
        <w:ind w:hanging="0" w:left="0" w:right="337"/>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Plazo: </w:t>
      </w:r>
      <w:r>
        <w:rPr>
          <w:rFonts w:eastAsia="Quattrocento Sans" w:cs="Quattrocento Sans"/>
          <w:color w:val="000000"/>
          <w:sz w:val="20"/>
          <w:szCs w:val="20"/>
        </w:rPr>
        <w:t>El plazo del presente Acuerdo será indefinido; no obstante, cada inversión qu</w:t>
      </w:r>
      <w:r>
        <w:rPr>
          <w:rFonts w:eastAsia="Quattrocento Sans" w:cs="Quattrocento Sans"/>
          <w:sz w:val="20"/>
          <w:szCs w:val="20"/>
        </w:rPr>
        <w:t>e</w:t>
      </w:r>
      <w:r>
        <w:rPr>
          <w:rFonts w:eastAsia="Quattrocento Sans" w:cs="Quattrocento Sans"/>
          <w:color w:val="000000"/>
          <w:sz w:val="20"/>
          <w:szCs w:val="20"/>
        </w:rPr>
        <w:t xml:space="preserve"> realice el inversionista se sujetará individualmente al plazo que se estipule en el contrato o documento correspondiente, o bien, al plazo vigente al momento de cualquier cesión de crédito activo.</w:t>
      </w:r>
    </w:p>
    <w:p>
      <w:pPr>
        <w:pStyle w:val="normal1"/>
        <w:spacing w:lineRule="auto" w:line="240" w:before="1" w:after="0"/>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El presente Acuerdo Privado de Inversión podrá darse por terminado en los siguientes casos:</w:t>
      </w:r>
    </w:p>
    <w:p>
      <w:pPr>
        <w:pStyle w:val="normal1"/>
        <w:rPr>
          <w:rFonts w:ascii="Quattrocento Sans" w:hAnsi="Quattrocento Sans" w:eastAsia="Quattrocento Sans" w:cs="Quattrocento Sans"/>
          <w:color w:val="000000"/>
          <w:sz w:val="20"/>
          <w:szCs w:val="20"/>
        </w:rPr>
      </w:pPr>
      <w:r>
        <w:rPr>
          <w:rFonts w:eastAsia="Quattrocento Sans" w:cs="Quattrocento Sans"/>
          <w:color w:val="000000"/>
          <w:sz w:val="20"/>
          <w:szCs w:val="20"/>
        </w:rPr>
      </w:r>
    </w:p>
    <w:p>
      <w:pPr>
        <w:pStyle w:val="normal1"/>
        <w:numPr>
          <w:ilvl w:val="0"/>
          <w:numId w:val="2"/>
        </w:numPr>
        <w:tabs>
          <w:tab w:val="clear" w:pos="720"/>
          <w:tab w:val="left" w:pos="1080" w:leader="none"/>
        </w:tabs>
        <w:spacing w:lineRule="auto" w:line="240" w:before="1" w:after="0"/>
        <w:ind w:hanging="720" w:left="1080"/>
        <w:rPr>
          <w:rFonts w:ascii="Quattrocento Sans" w:hAnsi="Quattrocento Sans" w:eastAsia="Quattrocento Sans" w:cs="Quattrocento Sans"/>
          <w:color w:val="000000"/>
          <w:sz w:val="20"/>
          <w:szCs w:val="20"/>
        </w:rPr>
      </w:pPr>
      <w:r>
        <w:rPr>
          <w:rFonts w:eastAsia="Quattrocento Sans" w:cs="Quattrocento Sans"/>
          <w:color w:val="000000"/>
          <w:sz w:val="20"/>
          <w:szCs w:val="20"/>
        </w:rPr>
        <w:t>Por mutuo acuerdo entre las Partes;</w:t>
      </w:r>
    </w:p>
    <w:p>
      <w:pPr>
        <w:pStyle w:val="normal1"/>
        <w:rPr>
          <w:rFonts w:ascii="Quattrocento Sans" w:hAnsi="Quattrocento Sans" w:eastAsia="Quattrocento Sans" w:cs="Quattrocento Sans"/>
          <w:color w:val="000000"/>
          <w:sz w:val="20"/>
          <w:szCs w:val="20"/>
        </w:rPr>
      </w:pPr>
      <w:r>
        <w:rPr>
          <w:rFonts w:eastAsia="Quattrocento Sans" w:cs="Quattrocento Sans"/>
          <w:color w:val="000000"/>
          <w:sz w:val="20"/>
          <w:szCs w:val="20"/>
        </w:rPr>
      </w:r>
    </w:p>
    <w:p>
      <w:pPr>
        <w:pStyle w:val="normal1"/>
        <w:numPr>
          <w:ilvl w:val="0"/>
          <w:numId w:val="2"/>
        </w:numPr>
        <w:tabs>
          <w:tab w:val="clear" w:pos="720"/>
          <w:tab w:val="left" w:pos="1077" w:leader="none"/>
          <w:tab w:val="left" w:pos="1080" w:leader="none"/>
        </w:tabs>
        <w:spacing w:lineRule="auto" w:line="480"/>
        <w:ind w:hanging="720" w:left="1080" w:right="337"/>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Cuando se hayan pagado a favor del inversionista todas las obligaciones derivadas de sus inversiones y éste decida no continuar con nuevas inversiones;</w:t>
      </w:r>
    </w:p>
    <w:p>
      <w:pPr>
        <w:pStyle w:val="normal1"/>
        <w:numPr>
          <w:ilvl w:val="0"/>
          <w:numId w:val="2"/>
        </w:numPr>
        <w:tabs>
          <w:tab w:val="clear" w:pos="720"/>
          <w:tab w:val="left" w:pos="1076" w:leader="none"/>
          <w:tab w:val="left" w:pos="1080" w:leader="none"/>
        </w:tabs>
        <w:spacing w:lineRule="auto" w:line="480"/>
        <w:ind w:hanging="720" w:left="1080" w:right="337"/>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De forma unilateral por Cube Investments, Sociedad Anónima, quien no incurrirá en responsabilidad, siempre y cuando de un aviso previo de treinta días al inversionista sobre su decisión y la forma en que se devolverá la inversión.</w:t>
      </w:r>
    </w:p>
    <w:p>
      <w:pPr>
        <w:pStyle w:val="normal1"/>
        <w:numPr>
          <w:ilvl w:val="0"/>
          <w:numId w:val="2"/>
        </w:numPr>
        <w:tabs>
          <w:tab w:val="clear" w:pos="720"/>
          <w:tab w:val="left" w:pos="1080" w:leader="none"/>
        </w:tabs>
        <w:spacing w:lineRule="auto" w:line="480"/>
        <w:ind w:hanging="720" w:left="1080" w:right="335"/>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En forma anticipada, sin responsabilidad para el inversionista, en caso de incumplimiento por parte de LA SOCIEDAD de las obligaciones derivadas del presente Acuerdo Privado de Inversión o del Contrato de Servicios;</w:t>
      </w:r>
    </w:p>
    <w:p>
      <w:pPr>
        <w:pStyle w:val="normal1"/>
        <w:numPr>
          <w:ilvl w:val="0"/>
          <w:numId w:val="2"/>
        </w:numPr>
        <w:tabs>
          <w:tab w:val="clear" w:pos="720"/>
          <w:tab w:val="left" w:pos="1078" w:leader="none"/>
          <w:tab w:val="left" w:pos="1080" w:leader="none"/>
        </w:tabs>
        <w:spacing w:lineRule="auto" w:line="480"/>
        <w:ind w:hanging="720" w:left="1080" w:right="333"/>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A solicitud del inversionista, quien podrá requerir la devolución de su inversión. En este caso, LA SOCIEDAD no estará obligada a recomprar directamente dicha inversión de forma inmediata, sino que realizará sus mejores esfuerzos para colocarla mediante la cesión de la cartera activa a favor de otro inversionista. En el supuesto de que LA SOCIEDAD decida devolver la inversión con recursos propios, dicha devolución estará sujeta a la disponibilidad de liquidez, y se efectuará en un plazo razonable, sin que exista obligación de un plazo fijo ni perentorio;</w:t>
      </w:r>
    </w:p>
    <w:p>
      <w:pPr>
        <w:pStyle w:val="normal1"/>
        <w:numPr>
          <w:ilvl w:val="0"/>
          <w:numId w:val="2"/>
        </w:numPr>
        <w:tabs>
          <w:tab w:val="clear" w:pos="720"/>
          <w:tab w:val="left" w:pos="1080" w:leader="none"/>
        </w:tabs>
        <w:spacing w:lineRule="auto" w:line="480"/>
        <w:ind w:hanging="720" w:left="1080" w:right="330"/>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Exclusividad: </w:t>
      </w:r>
      <w:r>
        <w:rPr>
          <w:rFonts w:eastAsia="Quattrocento Sans" w:cs="Quattrocento Sans"/>
          <w:color w:val="000000"/>
          <w:sz w:val="20"/>
          <w:szCs w:val="20"/>
        </w:rPr>
        <w:t>El inversionista reconoce que LA SOCIEDAD actúa como su único agente de cartera en el marco de este Acuerdo. En caso el inversionista decida sustituir a LA SOCIEDAD como agente de cartera, y decida trasladar su cartera hacia algún otro administrador, se aplicará una penalidad en concepto de indemnización por daños y perjuicios consistente en el pago de los intereses proyectados pendientes que debía recibir la entidad Cube Investments, Sociedad Anónima, conforme el contrato de prestación de servicios.</w:t>
      </w:r>
    </w:p>
    <w:p>
      <w:pPr>
        <w:pStyle w:val="normal1"/>
        <w:numPr>
          <w:ilvl w:val="0"/>
          <w:numId w:val="3"/>
        </w:numPr>
        <w:tabs>
          <w:tab w:val="clear" w:pos="720"/>
          <w:tab w:val="left" w:pos="250" w:leader="none"/>
        </w:tabs>
        <w:spacing w:lineRule="auto" w:line="480" w:before="2" w:after="0"/>
        <w:ind w:hanging="0" w:left="0" w:right="332"/>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De los honorarios de Cube Investments, Sociedad Anónima: </w:t>
      </w:r>
      <w:r>
        <w:rPr>
          <w:rFonts w:eastAsia="Quattrocento Sans" w:cs="Quattrocento Sans"/>
          <w:color w:val="000000"/>
          <w:sz w:val="20"/>
          <w:szCs w:val="20"/>
        </w:rPr>
        <w:t>La entidad Cube Investments, Sociedad Anónima percibirá en concepto de honorarios por sus servicios prestados, los que se establezcan en el respectivo Contrato de Servicios.</w:t>
      </w:r>
    </w:p>
    <w:p>
      <w:pPr>
        <w:pStyle w:val="normal1"/>
        <w:numPr>
          <w:ilvl w:val="0"/>
          <w:numId w:val="3"/>
        </w:numPr>
        <w:tabs>
          <w:tab w:val="clear" w:pos="720"/>
          <w:tab w:val="left" w:pos="193" w:leader="none"/>
        </w:tabs>
        <w:spacing w:lineRule="auto" w:line="480"/>
        <w:ind w:hanging="0" w:left="0" w:right="333"/>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Del acuerdo de garantía de pago: </w:t>
      </w:r>
      <w:r>
        <w:rPr>
          <w:rFonts w:eastAsia="Quattrocento Sans" w:cs="Quattrocento Sans"/>
          <w:color w:val="000000"/>
          <w:sz w:val="20"/>
          <w:szCs w:val="20"/>
        </w:rPr>
        <w:t>Para todas las inversiones realizadas bajo el presente Acuerdo y destinadas principalmente a financiar la compra de vehículos (los “Bienes Muebles”), las Partes acuerdan lo siguiente:</w:t>
      </w:r>
    </w:p>
    <w:p>
      <w:pPr>
        <w:pStyle w:val="normal1"/>
        <w:numPr>
          <w:ilvl w:val="1"/>
          <w:numId w:val="3"/>
        </w:numPr>
        <w:tabs>
          <w:tab w:val="clear" w:pos="720"/>
          <w:tab w:val="left" w:pos="317" w:leader="none"/>
        </w:tabs>
        <w:spacing w:lineRule="auto" w:line="480"/>
        <w:ind w:hanging="0" w:left="0" w:right="331"/>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El inversionista podrá invertir o reinvertir sus fondos a su sola discreción, o bien por sugerencia de Cube Investments, Sociedad Anónima, a través de su ejecutivo de inversión. Dichas inversiones se realizarán dentro de los parámetros establecidos en el Contrato de Servicios y en los Contratos de Deuda correspondientes, salvo que el inversionista participe mediante la adquisición de créditos activos que puedan ser cedidos a su favor conforme lo indicado en la literal b) del presente Acuerdo.</w:t>
      </w:r>
    </w:p>
    <w:p>
      <w:pPr>
        <w:pStyle w:val="normal1"/>
        <w:numPr>
          <w:ilvl w:val="1"/>
          <w:numId w:val="3"/>
        </w:numPr>
        <w:tabs>
          <w:tab w:val="clear" w:pos="720"/>
          <w:tab w:val="left" w:pos="364" w:leader="none"/>
        </w:tabs>
        <w:spacing w:lineRule="auto" w:line="480" w:before="2" w:after="0"/>
        <w:ind w:hanging="0" w:left="0" w:right="331"/>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Cube Investments, Sociedad Anónima, en su calidad de administradora, receptora de pagos por cuenta de tercero y agente de cobranza, se compromete a manejar diligentemente las inversiones del inversionista, conforme lo estipulado en este Acuerdo y en el Contrato de Servicios. No obstante, el inversionista reconoce y acepta expresamente que toda inversión realizada a través de Cube Investments, S.A. implica riesgos inherentes, incluyendo, sin limitarse, a incumplimiento de</w:t>
      </w:r>
      <w:r>
        <w:rPr>
          <w:rFonts w:eastAsia="Quattrocento Sans" w:cs="Quattrocento Sans"/>
          <w:sz w:val="20"/>
          <w:szCs w:val="20"/>
        </w:rPr>
        <w:t xml:space="preserve"> </w:t>
      </w:r>
      <w:r>
        <w:rPr>
          <w:rFonts w:eastAsia="Quattrocento Sans" w:cs="Quattrocento Sans"/>
          <w:color w:val="000000"/>
          <w:sz w:val="20"/>
          <w:szCs w:val="20"/>
        </w:rPr>
        <w:t>deudores, mora, pérdida parcial o total del capital invertido, fluctuaciones de mercado y riesgos operativos. El inversionista declara haber sido informado sobre dichos riesgos, asume su responsabilidad y renuncia a exigir la devolución inmediata en efectivo de inversiones incumplidas, aceptando que Cube Investments, S.A. únicamente responderá en caso de dolo o negligencia grave debidamente comprobada.</w:t>
      </w:r>
    </w:p>
    <w:p>
      <w:pPr>
        <w:pStyle w:val="normal1"/>
        <w:tabs>
          <w:tab w:val="clear" w:pos="720"/>
          <w:tab w:val="left" w:pos="364" w:leader="none"/>
        </w:tabs>
        <w:spacing w:lineRule="auto" w:line="480" w:before="2" w:after="0"/>
        <w:ind w:right="331"/>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El inversionista reconoce expresamente que la implementación de procesos de recuperación, incluyendo la sustitución de inversiones o gestiones judiciales, no constituye garantía de rendimiento, ni de recuperación total o parcial del capital invertido.</w:t>
      </w:r>
    </w:p>
    <w:p>
      <w:pPr>
        <w:pStyle w:val="normal1"/>
        <w:numPr>
          <w:ilvl w:val="1"/>
          <w:numId w:val="3"/>
        </w:numPr>
        <w:tabs>
          <w:tab w:val="clear" w:pos="720"/>
          <w:tab w:val="left" w:pos="477" w:leader="none"/>
        </w:tabs>
        <w:spacing w:lineRule="auto" w:line="480" w:before="3" w:after="0"/>
        <w:ind w:hanging="0" w:left="0" w:right="332"/>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 xml:space="preserve">Con la firma de cada Contrato de Deuda, los vehículos financiados con los fondos del inversionista podrán quedar sujetos a garantías mobiliarias constituidas </w:t>
      </w:r>
      <w:r>
        <w:rPr>
          <w:rFonts w:eastAsia="Quattrocento Sans" w:cs="Quattrocento Sans"/>
          <w:b/>
          <w:bCs/>
          <w:color w:val="000000"/>
          <w:sz w:val="20"/>
          <w:szCs w:val="20"/>
        </w:rPr>
        <w:t>a favor de Cube Investments, Sociedad Anónima</w:t>
      </w:r>
      <w:r>
        <w:rPr>
          <w:rFonts w:eastAsia="Quattrocento Sans" w:cs="Quattrocento Sans"/>
          <w:color w:val="000000"/>
          <w:sz w:val="20"/>
          <w:szCs w:val="20"/>
        </w:rPr>
        <w:t>, ya sea directamente o a través de la resguardadora designada (RDBE, Sociedad Anónima), en cuyo caso Cube será la única titular y administradora de dichas garantías.</w:t>
      </w:r>
    </w:p>
    <w:p>
      <w:pPr>
        <w:pStyle w:val="normal1"/>
        <w:spacing w:lineRule="auto" w:line="480"/>
        <w:ind w:right="333"/>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El inversionista reconoce y acepta que la constitución de dichas garantías mobiliarias tiene como finalidad principal fortalecer la posición judicial y de cobro de Cube en beneficio de la cartera que administra, y que en ningún caso implicará la constitución de garantías mobiliarias directas a su favor ni el derecho a exigirlas individualmente, salvo pacto en contrario.</w:t>
      </w:r>
    </w:p>
    <w:p>
      <w:pPr>
        <w:pStyle w:val="normal1"/>
        <w:numPr>
          <w:ilvl w:val="1"/>
          <w:numId w:val="3"/>
        </w:numPr>
        <w:tabs>
          <w:tab w:val="clear" w:pos="720"/>
          <w:tab w:val="left" w:pos="424" w:leader="none"/>
        </w:tabs>
        <w:ind w:hanging="424" w:left="424"/>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Cesión de cartera activa:</w:t>
      </w:r>
    </w:p>
    <w:p>
      <w:pPr>
        <w:pStyle w:val="normal1"/>
        <w:rPr>
          <w:rFonts w:ascii="Quattrocento Sans" w:hAnsi="Quattrocento Sans" w:eastAsia="Quattrocento Sans" w:cs="Quattrocento Sans"/>
          <w:b/>
          <w:bCs/>
          <w:color w:val="000000"/>
          <w:sz w:val="20"/>
          <w:szCs w:val="20"/>
        </w:rPr>
      </w:pPr>
      <w:r>
        <w:rPr>
          <w:rFonts w:eastAsia="Quattrocento Sans" w:cs="Quattrocento Sans"/>
          <w:b/>
          <w:bCs/>
          <w:color w:val="000000"/>
          <w:sz w:val="20"/>
          <w:szCs w:val="20"/>
        </w:rPr>
      </w:r>
    </w:p>
    <w:p>
      <w:pPr>
        <w:pStyle w:val="normal1"/>
        <w:spacing w:lineRule="auto" w:line="480"/>
        <w:ind w:right="337"/>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En caso el inversionista decida participar mediante la cesión de cartera activa, reconoce y acepta que los créditos objeto de la cesión ya cuentan con garantías mobiliarias constituidas previamente a favor de Cube Investments, Sociedad Anónima, o de la resguardadora designada.</w:t>
      </w:r>
    </w:p>
    <w:p>
      <w:pPr>
        <w:pStyle w:val="normal1"/>
        <w:spacing w:lineRule="auto" w:line="480" w:before="1" w:after="0"/>
        <w:ind w:right="331"/>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El inversionista acepta recibir los derechos de crédito en el estado en que se encuentren al momento de la cesión, sin que exista obligación de parte de Cube de subrogarlo, novarlo o reconstituir dichas garantías a su favor. No obstante, cuando sea legal y registralmente viable, Cube podrá constituir a favor del inversionista una garantía mobiliaria en segundo lugar sobre los bienes que respaldan el crédito cedido.</w:t>
      </w:r>
    </w:p>
    <w:p>
      <w:pPr>
        <w:pStyle w:val="normal1"/>
        <w:spacing w:lineRule="auto" w:line="480"/>
        <w:ind w:right="334"/>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El inversionista manifiesta expresamente que entiende y acepta esta condición como parte inherente a la naturaleza de las cesiones de cartera activa, renunciando a exigir garantías adicionales o de primer rango distintas a las ya constituidas, salvo pacto en contrario.</w:t>
      </w:r>
    </w:p>
    <w:p>
      <w:pPr>
        <w:pStyle w:val="normal1"/>
        <w:keepNext w:val="false"/>
        <w:keepLines w:val="false"/>
        <w:pageBreakBefore w:val="false"/>
        <w:widowControl w:val="false"/>
        <w:numPr>
          <w:ilvl w:val="1"/>
          <w:numId w:val="3"/>
        </w:numPr>
        <w:shd w:val="clear" w:fill="auto"/>
        <w:spacing w:lineRule="auto" w:line="480" w:before="0" w:after="0"/>
        <w:ind w:hanging="394" w:left="394" w:right="33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caso de que una inversión incurra en mora por más de tres (3) meses, la misma será considerada como una inversión en recuperación.</w:t>
      </w:r>
    </w:p>
    <w:p>
      <w:pPr>
        <w:pStyle w:val="normal1"/>
        <w:keepNext w:val="false"/>
        <w:keepLines w:val="false"/>
        <w:pageBreakBefore w:val="false"/>
        <w:widowControl w:val="false"/>
        <w:shd w:val="clear" w:fill="auto"/>
        <w:spacing w:lineRule="auto" w:line="480" w:before="0" w:after="0"/>
        <w:ind w:hanging="0" w:left="394" w:right="33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tendrá la facultad, como parte de su gestión activa de cartera y a su sola discreción, de:</w:t>
      </w:r>
    </w:p>
    <w:p>
      <w:pPr>
        <w:pStyle w:val="normal1"/>
        <w:keepNext w:val="false"/>
        <w:keepLines w:val="false"/>
        <w:pageBreakBefore w:val="false"/>
        <w:widowControl w:val="false"/>
        <w:numPr>
          <w:ilvl w:val="0"/>
          <w:numId w:val="4"/>
        </w:numPr>
        <w:shd w:val="clear" w:fill="auto"/>
        <w:spacing w:lineRule="auto" w:line="480" w:before="0" w:after="0"/>
        <w:ind w:hanging="360" w:left="754" w:right="33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Implementar las estrategias de recuperación que considere pertinentes, incluyendo gestiones extrajudiciales y judiciales; y/o</w:t>
      </w:r>
    </w:p>
    <w:p>
      <w:pPr>
        <w:pStyle w:val="normal1"/>
        <w:keepNext w:val="false"/>
        <w:keepLines w:val="false"/>
        <w:pageBreakBefore w:val="false"/>
        <w:widowControl w:val="false"/>
        <w:numPr>
          <w:ilvl w:val="0"/>
          <w:numId w:val="4"/>
        </w:numPr>
        <w:shd w:val="clear" w:fill="auto"/>
        <w:spacing w:lineRule="auto" w:line="480" w:before="0" w:after="0"/>
        <w:ind w:hanging="360" w:left="754" w:right="33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Sustituir total o parcialmente la inversión por otra inversión vigente dentro de la cartera que administra, cuando ello sea operativamente posible.</w:t>
      </w:r>
    </w:p>
    <w:p>
      <w:pPr>
        <w:pStyle w:val="normal1"/>
        <w:tabs>
          <w:tab w:val="left" w:pos="720" w:leader="none"/>
        </w:tabs>
        <w:spacing w:lineRule="auto" w:line="480"/>
        <w:ind w:hanging="0" w:left="720" w:right="335"/>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La presente facultad constituye una herramienta de administración de cartera y no implica garantía de pago, cobertura de riesgo, ni obligación de sustitución por parte de la Contratista.</w:t>
      </w:r>
    </w:p>
    <w:p>
      <w:pPr>
        <w:pStyle w:val="normal1"/>
        <w:tabs>
          <w:tab w:val="left" w:pos="720" w:leader="none"/>
        </w:tabs>
        <w:spacing w:lineRule="auto" w:line="480"/>
        <w:ind w:hanging="0" w:left="720" w:right="335"/>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El inversionista reconoce que la recuperación de los créditos y la eventual sustitución dependerán de factores como la disponibilidad de cartera, condiciones de mercado y comportamiento de los deudores, por lo que Cube Investments, S.A. no asume responsabilidad en caso de que dichas medidas no resulten posibles o no logren la recuperación total de la inversión.</w:t>
      </w:r>
    </w:p>
    <w:p>
      <w:pPr>
        <w:pStyle w:val="normal1"/>
        <w:numPr>
          <w:ilvl w:val="0"/>
          <w:numId w:val="3"/>
        </w:numPr>
        <w:tabs>
          <w:tab w:val="clear" w:pos="720"/>
          <w:tab w:val="left" w:pos="245" w:leader="none"/>
        </w:tabs>
        <w:spacing w:lineRule="auto" w:line="480"/>
        <w:ind w:hanging="0" w:left="0" w:right="331"/>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De la cesión de las inversiones: </w:t>
      </w:r>
      <w:r>
        <w:rPr>
          <w:rFonts w:eastAsia="Quattrocento Sans" w:cs="Quattrocento Sans"/>
          <w:color w:val="000000"/>
          <w:sz w:val="20"/>
          <w:szCs w:val="20"/>
        </w:rPr>
        <w:t>El inversionista podrá, en cualquier momento, enajenar o ceder total o parcialmente su inversión bajo cualquier forma de cesión o disposición permitida por la ley, siempre que:</w:t>
      </w:r>
    </w:p>
    <w:p>
      <w:pPr>
        <w:pStyle w:val="normal1"/>
        <w:numPr>
          <w:ilvl w:val="0"/>
          <w:numId w:val="1"/>
        </w:numPr>
        <w:tabs>
          <w:tab w:val="left" w:pos="718" w:leader="none"/>
          <w:tab w:val="left" w:pos="720" w:leader="none"/>
        </w:tabs>
        <w:spacing w:lineRule="auto" w:line="480"/>
        <w:ind w:hanging="360" w:left="720" w:right="338"/>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Lo notifique por escrito a Cube Investments, Sociedad Anónima, con al menos treinta (30) días de anticipación;</w:t>
      </w:r>
    </w:p>
    <w:p>
      <w:pPr>
        <w:pStyle w:val="normal1"/>
        <w:numPr>
          <w:ilvl w:val="0"/>
          <w:numId w:val="1"/>
        </w:numPr>
        <w:tabs>
          <w:tab w:val="left" w:pos="717" w:leader="none"/>
          <w:tab w:val="left" w:pos="720" w:leader="none"/>
        </w:tabs>
        <w:spacing w:lineRule="auto" w:line="480"/>
        <w:ind w:hanging="360" w:left="720" w:right="332"/>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La cesión sea previamente validada por Cube Investments, Sociedad Anónima, a efectos de verificar el cumplimiento de las obligaciones contractuales, regulatorias y de prevención de lavado de dinero y financiamiento del terrorismo;</w:t>
      </w:r>
    </w:p>
    <w:p>
      <w:pPr>
        <w:pStyle w:val="normal1"/>
        <w:numPr>
          <w:ilvl w:val="0"/>
          <w:numId w:val="1"/>
        </w:numPr>
        <w:tabs>
          <w:tab w:val="left" w:pos="717" w:leader="none"/>
          <w:tab w:val="left" w:pos="720" w:leader="none"/>
        </w:tabs>
        <w:spacing w:lineRule="auto" w:line="480" w:before="1" w:after="0"/>
        <w:ind w:hanging="360" w:left="720" w:right="336"/>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La cesión no altere en ningún caso los términos y condiciones pactados con el cliente final en el respectivo Contrato de Deuda, los cuales deberán ser respetados íntegramente por el cesionario; y</w:t>
      </w:r>
    </w:p>
    <w:p>
      <w:pPr>
        <w:pStyle w:val="normal1"/>
        <w:numPr>
          <w:ilvl w:val="0"/>
          <w:numId w:val="1"/>
        </w:numPr>
        <w:tabs>
          <w:tab w:val="left" w:pos="720" w:leader="none"/>
        </w:tabs>
        <w:spacing w:lineRule="auto" w:line="475"/>
        <w:ind w:hanging="360" w:left="720" w:right="337"/>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El inversionista cedente asuma todos los costos y gastos relacionados con la cesión, incluyendo, sin limitación, honorarios profesionales, gastos administrativos, notariales,</w:t>
      </w:r>
    </w:p>
    <w:p>
      <w:pPr>
        <w:pStyle w:val="normal1"/>
        <w:ind w:hanging="0" w:left="720"/>
        <w:rPr>
          <w:rFonts w:ascii="Quattrocento Sans" w:hAnsi="Quattrocento Sans" w:eastAsia="Quattrocento Sans" w:cs="Quattrocento Sans"/>
          <w:color w:val="000000"/>
          <w:sz w:val="20"/>
          <w:szCs w:val="20"/>
        </w:rPr>
      </w:pPr>
      <w:r>
        <w:rPr>
          <w:rFonts w:eastAsia="Quattrocento Sans" w:cs="Quattrocento Sans"/>
          <w:color w:val="000000"/>
          <w:sz w:val="20"/>
          <w:szCs w:val="20"/>
        </w:rPr>
        <w:t>registrales, impuestos y cualquier otro que corresponda.</w:t>
      </w:r>
    </w:p>
    <w:p>
      <w:pPr>
        <w:pStyle w:val="normal1"/>
        <w:spacing w:lineRule="auto" w:line="240" w:before="1" w:after="0"/>
        <w:rPr>
          <w:rFonts w:ascii="Quattrocento Sans" w:hAnsi="Quattrocento Sans" w:eastAsia="Quattrocento Sans" w:cs="Quattrocento Sans"/>
          <w:color w:val="000000"/>
          <w:sz w:val="20"/>
          <w:szCs w:val="20"/>
        </w:rPr>
      </w:pPr>
      <w:r>
        <w:rPr>
          <w:rFonts w:eastAsia="Quattrocento Sans" w:cs="Quattrocento Sans"/>
          <w:color w:val="000000"/>
          <w:sz w:val="20"/>
          <w:szCs w:val="20"/>
        </w:rPr>
      </w:r>
    </w:p>
    <w:p>
      <w:pPr>
        <w:pStyle w:val="normal1"/>
        <w:numPr>
          <w:ilvl w:val="0"/>
          <w:numId w:val="1"/>
        </w:numPr>
        <w:tabs>
          <w:tab w:val="left" w:pos="718" w:leader="none"/>
          <w:tab w:val="left" w:pos="720" w:leader="none"/>
        </w:tabs>
        <w:spacing w:lineRule="auto" w:line="480"/>
        <w:ind w:hanging="360" w:left="720" w:right="337"/>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El inversionista cedente asuma todos los costos y gastos relacionados con la cesión, incluyendo, sin limitación, honorarios profesionales, gastos administrativos, notariales, registrales, impuestos y cualquier otro que corresponda.</w:t>
      </w:r>
    </w:p>
    <w:p>
      <w:pPr>
        <w:pStyle w:val="normal1"/>
        <w:spacing w:lineRule="auto" w:line="480"/>
        <w:ind w:right="336"/>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Cube Investments, Sociedad Anónima no será responsable frente al Inversionista cedente, ni frente al cesionario, por las consecuencias derivadas de la cesión de la inversión, limitándose su intervención a efectos de registro y administración de esta en el marco del presente Acuerdo.</w:t>
      </w:r>
    </w:p>
    <w:p>
      <w:pPr>
        <w:pStyle w:val="normal1"/>
        <w:spacing w:lineRule="auto" w:line="480" w:before="1" w:after="0"/>
        <w:ind w:right="331"/>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TERCERO: DE LOS PAGOS EN FAVOR DEL INVERSIONISTA: </w:t>
      </w:r>
      <w:r>
        <w:rPr>
          <w:rFonts w:eastAsia="Quattrocento Sans" w:cs="Quattrocento Sans"/>
          <w:color w:val="000000"/>
          <w:sz w:val="20"/>
          <w:szCs w:val="20"/>
        </w:rPr>
        <w:t xml:space="preserve">Los pagos que correspondan al Inversionista en concepto de utilidades se establecerán, en cuanto a forma, época y porcentaje aplicable, en el respectivo Contrato de Servicios suscrito con Cube Investments, Sociedad Anónima. En cuanto a los pagos derivados del presente Acuerdo Privado de Inversión, las partes acuerdan que el inversionista podrá optar, a su sola y exclusiva discreción, por recibir, total o parcialmente, el monto correspondiente al capital invertido y/o a los intereses devengados —según le sean efectivamente liquidados— mediante la </w:t>
      </w:r>
      <w:r>
        <w:rPr>
          <w:rFonts w:eastAsia="Quattrocento Sans" w:cs="Quattrocento Sans"/>
          <w:b/>
          <w:bCs/>
          <w:color w:val="000000"/>
          <w:sz w:val="20"/>
          <w:szCs w:val="20"/>
        </w:rPr>
        <w:t>cesión de créditos activos propiedad de Cube Investments, Sociedad Anónima</w:t>
      </w:r>
      <w:r>
        <w:rPr>
          <w:rFonts w:eastAsia="Quattrocento Sans" w:cs="Quattrocento Sans"/>
          <w:color w:val="000000"/>
          <w:sz w:val="20"/>
          <w:szCs w:val="20"/>
        </w:rPr>
        <w:t>.</w:t>
      </w:r>
    </w:p>
    <w:p>
      <w:pPr>
        <w:pStyle w:val="normal1"/>
        <w:spacing w:lineRule="auto" w:line="480" w:before="1" w:after="0"/>
        <w:ind w:right="331"/>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El inversionista podrá manifestar expresamente su voluntad de recibir el pago en esta modalidad para el capital, para los intereses o para ambos, en cada oportunidad de liquidación parcial o total, o bien de forma general para futuras liquidaciones, mediante solicitud escrita y firmada. Dicha solicitud será aplicable a las liquidaciones posteriores mientras no sea revocada también por escrito, aplicando el cambio a partir de la siguiente liquidación.</w:t>
      </w:r>
    </w:p>
    <w:p>
      <w:pPr>
        <w:pStyle w:val="normal1"/>
        <w:spacing w:lineRule="auto" w:line="480"/>
        <w:ind w:right="327"/>
        <w:jc w:val="both"/>
        <w:rPr>
          <w:rFonts w:ascii="Quattrocento Sans" w:hAnsi="Quattrocento Sans" w:eastAsia="Quattrocento Sans" w:cs="Quattrocento Sans"/>
          <w:b/>
          <w:bCs/>
          <w:color w:val="000000"/>
          <w:sz w:val="20"/>
          <w:szCs w:val="20"/>
        </w:rPr>
      </w:pPr>
      <w:r>
        <w:rPr>
          <w:rFonts w:eastAsia="Quattrocento Sans" w:cs="Quattrocento Sans"/>
          <w:color w:val="000000"/>
          <w:sz w:val="20"/>
          <w:szCs w:val="20"/>
        </w:rPr>
        <w:t xml:space="preserve">La cesión se formalizará en el respectivo contrato de cesión de derechos, en el cual constará la identificación de los créditos cedidos, su saldo de capital, plazo restante, garantías constituidas y demás condiciones. El inversionista acepta que los créditos cedidos serán recibidos </w:t>
      </w:r>
      <w:r>
        <w:rPr>
          <w:rFonts w:eastAsia="Quattrocento Sans" w:cs="Quattrocento Sans"/>
          <w:b/>
          <w:bCs/>
          <w:color w:val="000000"/>
          <w:sz w:val="20"/>
          <w:szCs w:val="20"/>
        </w:rPr>
        <w:t>en el estado</w:t>
      </w:r>
    </w:p>
    <w:p>
      <w:pPr>
        <w:pStyle w:val="normal1"/>
        <w:spacing w:lineRule="auto" w:line="480"/>
        <w:ind w:right="335"/>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en que se encuentren</w:t>
      </w:r>
      <w:r>
        <w:rPr>
          <w:rFonts w:eastAsia="Quattrocento Sans" w:cs="Quattrocento Sans"/>
          <w:color w:val="000000"/>
          <w:sz w:val="20"/>
          <w:szCs w:val="20"/>
        </w:rPr>
        <w:t>, con sus características y riesgos propios, sin que exista obligación de Cube de subrogarlo, novarlo o reconstituir garantías.</w:t>
      </w:r>
    </w:p>
    <w:p>
      <w:pPr>
        <w:pStyle w:val="normal1"/>
        <w:spacing w:lineRule="auto" w:line="480" w:before="2" w:after="0"/>
        <w:ind w:right="328"/>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Una vez realizada la cesión y aceptada por el inversionista, este reconoce que ha recibido íntegramente el monto respectivo mediante la transferencia de dichos derechos, comprometiéndose a no formular reclamaciones posteriores relacionadas con dicha forma de pago, sujetándose a las condiciones particulares de cada crédito cedido.</w:t>
      </w:r>
    </w:p>
    <w:p>
      <w:pPr>
        <w:pStyle w:val="normal1"/>
        <w:spacing w:lineRule="auto" w:line="480"/>
        <w:ind w:right="331"/>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Asimismo, el inversionista podrá instruir a Cube Investments, Sociedad Anónima, que los montos que le correspondan en concepto de utilidades sean reinvertidos, total o parcialmente, de conformidad con sus instrucciones específicas y bajo los términos y condiciones acordados para cada nueva inversión. La reinversión no será automática salvo instrucción expresa y por escrito del inversionista.</w:t>
      </w:r>
    </w:p>
    <w:p>
      <w:pPr>
        <w:pStyle w:val="normal1"/>
        <w:spacing w:lineRule="auto" w:line="480"/>
        <w:ind w:right="328"/>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 xml:space="preserve">Para fines meramente informativos, las Partes acuerdan que el inversionista recibirá como </w:t>
      </w:r>
      <w:r>
        <w:rPr>
          <w:rFonts w:eastAsia="Quattrocento Sans" w:cs="Quattrocento Sans"/>
          <w:b/>
          <w:bCs/>
          <w:color w:val="000000"/>
          <w:sz w:val="20"/>
          <w:szCs w:val="20"/>
        </w:rPr>
        <w:t xml:space="preserve">Anexo </w:t>
      </w:r>
      <w:r>
        <w:rPr>
          <w:rFonts w:eastAsia="Quattrocento Sans" w:cs="Quattrocento Sans"/>
          <w:b/>
          <w:bCs/>
          <w:sz w:val="20"/>
          <w:szCs w:val="20"/>
        </w:rPr>
        <w:t>5</w:t>
      </w:r>
      <w:r>
        <w:rPr>
          <w:rFonts w:eastAsia="Quattrocento Sans" w:cs="Quattrocento Sans"/>
          <w:b/>
          <w:bCs/>
          <w:color w:val="000000"/>
          <w:sz w:val="20"/>
          <w:szCs w:val="20"/>
        </w:rPr>
        <w:t xml:space="preserve"> – Plan de Pagos Proyectado </w:t>
      </w:r>
      <w:r>
        <w:rPr>
          <w:rFonts w:eastAsia="Quattrocento Sans" w:cs="Quattrocento Sans"/>
          <w:color w:val="000000"/>
          <w:sz w:val="20"/>
          <w:szCs w:val="20"/>
        </w:rPr>
        <w:t>un documento elaborado por el Departamento de Inversiones de Cube Investments, S.A., en el cual se detalla la proyección estimada de flujos de capital e intereses derivados de la inversión realizada.</w:t>
      </w:r>
    </w:p>
    <w:p>
      <w:pPr>
        <w:pStyle w:val="normal1"/>
        <w:spacing w:lineRule="auto" w:line="480" w:before="1" w:after="0"/>
        <w:ind w:right="332"/>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El inversionista reconoce y acepta que dicho plan constituye únicamente una proyección referencial, basada en los supuestos de pago puntual de los deudores y en las condiciones vigentes al momento de su elaboración, por lo que podrá variar en función de factores tales como reinversión de utilidades, cambio en modalidades de pago, mora, incumplimiento, sustitución de cartera, ejecución de garantías o cualquier otra circunstancia operativa.</w:t>
      </w:r>
    </w:p>
    <w:p>
      <w:pPr>
        <w:pStyle w:val="normal1"/>
        <w:spacing w:lineRule="auto" w:line="480"/>
        <w:ind w:right="333"/>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En ningún caso el Plan de Pagos Proyectado tendrá carácter vinculante ni constituirá obligación de pago a cargo de Cube Investments, S.A., cuya obligación se limita a gestionar diligentemente los pagos de los deudores y liquidar al Inversionista los montos efectivamente recibidos conforme al</w:t>
      </w:r>
      <w:r>
        <w:rPr>
          <w:rFonts w:eastAsia="Quattrocento Sans" w:cs="Quattrocento Sans"/>
          <w:sz w:val="20"/>
          <w:szCs w:val="20"/>
        </w:rPr>
        <w:t xml:space="preserve"> </w:t>
      </w:r>
      <w:r>
        <w:rPr>
          <w:rFonts w:eastAsia="Quattrocento Sans" w:cs="Quattrocento Sans"/>
          <w:color w:val="000000"/>
          <w:sz w:val="20"/>
          <w:szCs w:val="20"/>
        </w:rPr>
        <w:t>Acuerdo de Inversión y al presente Contrato de Servicios.</w:t>
      </w:r>
    </w:p>
    <w:p>
      <w:pPr>
        <w:pStyle w:val="normal1"/>
        <w:spacing w:lineRule="auto" w:line="480"/>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En caso de que cualquier crédito vinculado a la inversión sea cancelado anticipadamente por el Deudor, el inversionista podrá instruir a Cube Investments, S.A., mediante la suscripción del Anexo</w:t>
      </w:r>
      <w:r>
        <w:rPr>
          <w:rFonts w:eastAsia="Quattrocento Sans" w:cs="Quattrocento Sans"/>
          <w:sz w:val="20"/>
          <w:szCs w:val="20"/>
        </w:rPr>
        <w:t xml:space="preserve"> 6</w:t>
      </w:r>
      <w:r>
        <w:rPr>
          <w:rFonts w:eastAsia="Quattrocento Sans" w:cs="Quattrocento Sans"/>
          <w:color w:val="000000"/>
          <w:sz w:val="20"/>
          <w:szCs w:val="20"/>
        </w:rPr>
        <w:t xml:space="preserve"> – Carta de Instrucción por Pago Anticipado, para que retenga temporalmente los fondos correspondientes hasta que este decida su destino, ya sea su reintegro o su reinversión en nuevas oportunidades de inversión. Dicho anexo formará parte integrante del presente Acuerdo.</w:t>
      </w:r>
    </w:p>
    <w:p>
      <w:pPr>
        <w:pStyle w:val="normal1"/>
        <w:spacing w:lineRule="auto" w:line="480"/>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CUARTO. Otras estipulaciones. I) Compromiso de Cube Investments, Sociedad Anónima: </w:t>
      </w:r>
      <w:r>
        <w:rPr>
          <w:rFonts w:eastAsia="Quattrocento Sans" w:cs="Quattrocento Sans"/>
          <w:color w:val="000000"/>
          <w:sz w:val="20"/>
          <w:szCs w:val="20"/>
        </w:rPr>
        <w:t xml:space="preserve">Cube Investments, Sociedad Anónima (LA SOCIEDAD) responderá frente al Inversionista únicamente en caso de </w:t>
      </w:r>
      <w:r>
        <w:rPr>
          <w:rFonts w:eastAsia="Quattrocento Sans" w:cs="Quattrocento Sans"/>
          <w:b/>
          <w:bCs/>
          <w:color w:val="000000"/>
          <w:sz w:val="20"/>
          <w:szCs w:val="20"/>
        </w:rPr>
        <w:t>dolo o negligencia grave debidamente comprobada en el manejo y administración de las inversiones</w:t>
      </w:r>
      <w:r>
        <w:rPr>
          <w:rFonts w:eastAsia="Quattrocento Sans" w:cs="Quattrocento Sans"/>
          <w:color w:val="000000"/>
          <w:sz w:val="20"/>
          <w:szCs w:val="20"/>
        </w:rPr>
        <w:t xml:space="preserve">, y siempre dentro de los límites establecidos en la ley. El inversionista reconoce que toda inversión conlleva riesgos propios, incluyendo el incumplimiento de los deudores, mora, fluctuaciones de mercado o pérdidas derivadas de causas ajenas a Cube, por lo que estas no generarán responsabilidad para LA SOCIEDAD. </w:t>
      </w:r>
      <w:r>
        <w:rPr>
          <w:rFonts w:eastAsia="Quattrocento Sans" w:cs="Quattrocento Sans"/>
          <w:b/>
          <w:bCs/>
          <w:color w:val="000000"/>
          <w:sz w:val="20"/>
          <w:szCs w:val="20"/>
        </w:rPr>
        <w:t xml:space="preserve">II) Derecho a información: </w:t>
      </w:r>
      <w:r>
        <w:rPr>
          <w:rFonts w:eastAsia="Quattrocento Sans" w:cs="Quattrocento Sans"/>
          <w:color w:val="000000"/>
          <w:sz w:val="20"/>
          <w:szCs w:val="20"/>
        </w:rPr>
        <w:t xml:space="preserve">Con el propósito de mantener una relación transparente, el inversionista podrá solicitar informes sobre sus inversiones. Para ello, deberá hacerlo con al menos quince (15) días de anticipación y especificando la información que desea recibir. Cube entregará dichos informes en un formato razonable y claro, con base en la información disponible. En caso de que el inversionista requiera reportes especiales o adicionales, estos podrán generarse previo acuerdo respecto a los costos asociados. </w:t>
      </w:r>
      <w:r>
        <w:rPr>
          <w:rFonts w:eastAsia="Quattrocento Sans" w:cs="Quattrocento Sans"/>
          <w:b/>
          <w:bCs/>
          <w:color w:val="000000"/>
          <w:sz w:val="20"/>
          <w:szCs w:val="20"/>
        </w:rPr>
        <w:t xml:space="preserve">III) Validez del acuerdo: </w:t>
      </w:r>
      <w:r>
        <w:rPr>
          <w:rFonts w:eastAsia="Quattrocento Sans" w:cs="Quattrocento Sans"/>
          <w:color w:val="000000"/>
          <w:sz w:val="20"/>
          <w:szCs w:val="20"/>
        </w:rPr>
        <w:t xml:space="preserve">Si alguna disposición del presente Acuerdo fuera declarada nula o inválida, ello no afectará la validez del resto del documento, el cual seguirá siendo plenamente vigente y obligatorio para ambas Partes. </w:t>
      </w:r>
      <w:r>
        <w:rPr>
          <w:rFonts w:eastAsia="Quattrocento Sans" w:cs="Quattrocento Sans"/>
          <w:b/>
          <w:bCs/>
          <w:color w:val="000000"/>
          <w:sz w:val="20"/>
          <w:szCs w:val="20"/>
        </w:rPr>
        <w:t xml:space="preserve">IV) </w:t>
      </w:r>
      <w:r>
        <w:rPr>
          <w:rFonts w:eastAsia="Quattrocento Sans" w:cs="Quattrocento Sans"/>
          <w:color w:val="000000"/>
          <w:sz w:val="20"/>
          <w:szCs w:val="20"/>
        </w:rPr>
        <w:t>Marco legal aplicable: Para todo lo no regulado expresamente en este Acuerdo, se aplicarán de manera supletoria las leyes de la República de Guatemala que resulten compatibles con su naturaleza.</w:t>
      </w:r>
    </w:p>
    <w:p>
      <w:pPr>
        <w:pStyle w:val="normal1"/>
        <w:spacing w:lineRule="auto" w:line="480"/>
        <w:ind w:right="331"/>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QUINTO: </w:t>
      </w:r>
      <w:r>
        <w:rPr>
          <w:rFonts w:eastAsia="Quattrocento Sans" w:cs="Quattrocento Sans"/>
          <w:color w:val="000000"/>
          <w:sz w:val="20"/>
          <w:szCs w:val="20"/>
        </w:rPr>
        <w:t xml:space="preserve">Los comparecientes aceptamos los términos del presente convenio, y nos comprometemos en nombre de nuestra representada a cumplir con las obligaciones aquí estipuladas. Y para los efectos de la interpretación, ejecución y aplicación del presente contrato, nos sometemos a los tribunales del departamento de Guatemala. </w:t>
      </w:r>
    </w:p>
    <w:p>
      <w:pPr>
        <w:pStyle w:val="normal1"/>
        <w:spacing w:lineRule="auto" w:line="480"/>
        <w:ind w:right="331"/>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 xml:space="preserve">Aceptando que para el efecto de cualquier controversia, se estará a lo que disponga el respectivo contrato de prestación de servicios. </w:t>
      </w:r>
      <w:r>
        <w:rPr>
          <w:rFonts w:eastAsia="Quattrocento Sans" w:cs="Quattrocento Sans"/>
          <w:b/>
          <w:bCs/>
          <w:color w:val="000000"/>
          <w:sz w:val="20"/>
          <w:szCs w:val="20"/>
        </w:rPr>
        <w:t xml:space="preserve">SEXTO: </w:t>
      </w:r>
      <w:r>
        <w:rPr>
          <w:rFonts w:eastAsia="Quattrocento Sans" w:cs="Quattrocento Sans"/>
          <w:color w:val="000000"/>
          <w:sz w:val="20"/>
          <w:szCs w:val="20"/>
        </w:rPr>
        <w:t>Las PARTES aceptamos expresamente en los términos anteriormente relacionados lo expuesto en el presente documento. Leemos lo escrito y bien enterados de su objeto, contenido, efectos legales y demás obligaciones, lo aceptamos y firmamos, al final de la presente, así como al margen izquierdo de cada hoja.</w:t>
      </w:r>
    </w:p>
    <w:p>
      <w:pPr>
        <w:pStyle w:val="normal1"/>
        <w:rPr>
          <w:rFonts w:ascii="Quattrocento Sans" w:hAnsi="Quattrocento Sans" w:eastAsia="Quattrocento Sans" w:cs="Quattrocento Sans"/>
          <w:sz w:val="20"/>
          <w:szCs w:val="20"/>
        </w:rPr>
      </w:pPr>
      <w:r>
        <w:rPr>
          <w:rFonts w:eastAsia="Quattrocento Sans" w:cs="Quattrocento Sans"/>
          <w:sz w:val="20"/>
          <w:szCs w:val="20"/>
        </w:rPr>
      </w:r>
    </w:p>
    <w:p>
      <w:pPr>
        <w:pStyle w:val="normal1"/>
        <w:rPr>
          <w:rFonts w:ascii="Quattrocento Sans" w:hAnsi="Quattrocento Sans" w:eastAsia="Quattrocento Sans" w:cs="Quattrocento Sans"/>
          <w:sz w:val="20"/>
          <w:szCs w:val="20"/>
        </w:rPr>
      </w:pPr>
      <w:r>
        <w:rPr>
          <w:rFonts w:eastAsia="Quattrocento Sans" w:cs="Quattrocento Sans"/>
          <w:sz w:val="20"/>
          <w:szCs w:val="20"/>
        </w:rPr>
      </w:r>
    </w:p>
    <w:p>
      <w:pPr>
        <w:pStyle w:val="normal1"/>
        <w:rPr>
          <w:rFonts w:ascii="Quattrocento Sans" w:hAnsi="Quattrocento Sans" w:eastAsia="Quattrocento Sans" w:cs="Quattrocento Sans"/>
          <w:sz w:val="20"/>
          <w:szCs w:val="20"/>
        </w:rPr>
      </w:pPr>
      <w:r>
        <w:rPr>
          <w:rFonts w:eastAsia="Quattrocento Sans" w:cs="Quattrocento Sans"/>
          <w:sz w:val="20"/>
          <w:szCs w:val="20"/>
        </w:rPr>
      </w:r>
    </w:p>
    <w:p>
      <w:pPr>
        <w:pStyle w:val="normal1"/>
        <w:rPr>
          <w:rFonts w:ascii="Quattrocento Sans" w:hAnsi="Quattrocento Sans" w:eastAsia="Quattrocento Sans" w:cs="Quattrocento Sans"/>
          <w:sz w:val="20"/>
          <w:szCs w:val="20"/>
        </w:rPr>
      </w:pPr>
      <w:r>
        <w:rPr>
          <w:rFonts w:eastAsia="Quattrocento Sans" w:cs="Quattrocento Sans"/>
          <w:sz w:val="20"/>
          <w:szCs w:val="20"/>
        </w:rPr>
      </w:r>
    </w:p>
    <w:p>
      <w:pPr>
        <w:pStyle w:val="normal1"/>
        <w:spacing w:lineRule="auto" w:line="240" w:before="1" w:after="0"/>
        <w:rPr>
          <w:rFonts w:ascii="Quattrocento Sans" w:hAnsi="Quattrocento Sans" w:eastAsia="Quattrocento Sans" w:cs="Quattrocento Sans"/>
          <w:color w:val="000000"/>
          <w:sz w:val="20"/>
          <w:szCs w:val="20"/>
        </w:rPr>
      </w:pPr>
      <w:r>
        <w:rPr>
          <w:rFonts w:eastAsia="Quattrocento Sans" w:cs="Quattrocento Sans"/>
          <w:color w:val="000000"/>
          <w:sz w:val="20"/>
          <w:szCs w:val="20"/>
        </w:rPr>
      </w:r>
    </w:p>
    <w:p>
      <w:pPr>
        <w:pStyle w:val="normal1"/>
        <w:tabs>
          <w:tab w:val="clear" w:pos="720"/>
          <w:tab w:val="left" w:pos="4236" w:leader="none"/>
        </w:tabs>
        <w:spacing w:lineRule="auto" w:line="240" w:before="1" w:after="0"/>
        <w:rPr>
          <w:rFonts w:ascii="Quattrocento Sans" w:hAnsi="Quattrocento Sans" w:eastAsia="Quattrocento Sans" w:cs="Quattrocento Sans"/>
          <w:sz w:val="16"/>
          <w:szCs w:val="16"/>
        </w:rPr>
      </w:pPr>
      <w:r>
        <w:rPr>
          <w:rFonts w:eastAsia="Quattrocento Sans" w:cs="Quattrocento Sans"/>
          <w:sz w:val="16"/>
          <w:szCs w:val="16"/>
        </w:rPr>
        <w:t>F_________________________________________________</w:t>
        <w:tab/>
        <w:t xml:space="preserve">  F____________________________________________________</w:t>
      </w:r>
    </w:p>
    <w:p>
      <w:pPr>
        <w:pStyle w:val="normal1"/>
        <w:tabs>
          <w:tab w:val="clear" w:pos="720"/>
          <w:tab w:val="left" w:pos="4236" w:leader="none"/>
        </w:tabs>
        <w:spacing w:lineRule="auto" w:line="240" w:before="1" w:after="0"/>
        <w:rPr>
          <w:rFonts w:ascii="Quattrocento Sans" w:hAnsi="Quattrocento Sans" w:eastAsia="Quattrocento Sans" w:cs="Quattrocento Sans"/>
          <w:b/>
          <w:bCs/>
          <w:i/>
          <w:iCs/>
          <w:sz w:val="16"/>
          <w:szCs w:val="16"/>
        </w:rPr>
      </w:pPr>
      <w:sdt>
        <w:sdtPr>
          <w:tag w:val="goog_rdk_3"/>
          <w:id w:val="1647031543"/>
        </w:sdtPr>
        <w:sdtContent>
          <w:r>
            <w:rPr/>
          </w:r>
          <w:r>
            <w:rPr/>
          </w:r>
        </w:sdtContent>
      </w:sdt>
      <w:r>
        <w:rPr>
          <w:b/>
          <w:bCs/>
        </w:rPr>
        <w:t>{nombreCompleto}</w:t>
      </w:r>
      <w:r>
        <w:rPr>
          <w:rFonts w:eastAsia="Quattrocento Sans" w:cs="Quattrocento Sans"/>
          <w:sz w:val="16"/>
          <w:szCs w:val="16"/>
        </w:rPr>
        <w:tab/>
        <w:t xml:space="preserve">POR </w:t>
      </w:r>
      <w:r>
        <w:rPr>
          <w:rFonts w:eastAsia="Quattrocento Sans" w:cs="Quattrocento Sans"/>
          <w:b/>
          <w:bCs/>
          <w:i/>
          <w:iCs/>
          <w:sz w:val="16"/>
          <w:szCs w:val="16"/>
        </w:rPr>
        <w:t>CUBE INVESTMENTS, SOCIEDAD ANÓNIMA</w:t>
      </w:r>
    </w:p>
    <w:p>
      <w:pPr>
        <w:pStyle w:val="normal1"/>
        <w:rPr>
          <w:rFonts w:ascii="Quattrocento Sans" w:hAnsi="Quattrocento Sans" w:eastAsia="Quattrocento Sans" w:cs="Quattrocento Sans"/>
          <w:b/>
          <w:bCs/>
          <w:i/>
          <w:iCs/>
          <w:color w:val="000000"/>
          <w:sz w:val="16"/>
          <w:szCs w:val="16"/>
        </w:rPr>
      </w:pPr>
      <w:r>
        <w:rPr>
          <w:rFonts w:eastAsia="Quattrocento Sans" w:cs="Quattrocento Sans"/>
          <w:b/>
          <w:bCs/>
          <w:i/>
          <w:iCs/>
          <w:color w:val="000000"/>
          <w:sz w:val="16"/>
          <w:szCs w:val="16"/>
        </w:rPr>
      </w:r>
    </w:p>
    <w:sectPr>
      <w:headerReference w:type="even" r:id="rId2"/>
      <w:headerReference w:type="default" r:id="rId3"/>
      <w:headerReference w:type="first" r:id="rId4"/>
      <w:type w:val="nextPage"/>
      <w:pgSz w:w="12240" w:h="15840"/>
      <w:pgMar w:left="1800" w:right="1440" w:gutter="0" w:header="794" w:top="1880" w:footer="0" w:bottom="1702"/>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Quattrocento Sans">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1"/>
    <w:family w:val="swiss"/>
    <w:pitch w:val="variable"/>
  </w:font>
  <w:font w:name="Georgia">
    <w:charset w:val="01"/>
    <w:family w:val="roman"/>
    <w:pitch w:val="variable"/>
  </w:font>
  <w:font w:name="Symbol">
    <w:charset w:val="02"/>
    <w:family w:val="auto"/>
    <w:pitch w:val="default"/>
  </w:font>
  <w:font w:name="Noto Sans Symbols">
    <w:charset w:val="01"/>
    <w:family w:val="swiss"/>
    <w:pitch w:val="variable"/>
    <w:embedRegular r:id="rId5" w:fontKey="{05014A78-CABC-4EF0-12AC-5CD89AEFDE05}"/>
    <w:embedBold r:id="rId6" w:fontKey="{06014A78-CABC-4EF0-12AC-5CD89AEFDE06}"/>
    <w:embedItalic r:id="rId7" w:fontKey="{07014A78-CABC-4EF0-12AC-5CD89AEFDE07}"/>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10"/>
      <w:rPr>
        <w:color w:val="000000"/>
        <w:sz w:val="20"/>
        <w:szCs w:val="20"/>
      </w:rPr>
    </w:pPr>
    <w:r>
      <w:rPr>
        <w:color w:val="000000"/>
        <w:sz w:val="20"/>
        <w:szCs w:val="20"/>
      </w:rPr>
      <w:drawing>
        <wp:anchor distT="0" distB="0" distL="0" distR="0" simplePos="0" relativeHeight="12" behindDoc="1" locked="0" layoutInCell="0" allowOverlap="1">
          <wp:simplePos x="0" y="0"/>
          <wp:positionH relativeFrom="page">
            <wp:posOffset>1236345</wp:posOffset>
          </wp:positionH>
          <wp:positionV relativeFrom="page">
            <wp:posOffset>504190</wp:posOffset>
          </wp:positionV>
          <wp:extent cx="1876425" cy="614045"/>
          <wp:effectExtent l="0" t="0" r="0" b="0"/>
          <wp:wrapNone/>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1"/>
                  <a:stretch>
                    <a:fillRect/>
                  </a:stretch>
                </pic:blipFill>
                <pic:spPr bwMode="auto">
                  <a:xfrm>
                    <a:off x="0" y="0"/>
                    <a:ext cx="1876425" cy="61404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10"/>
      <w:rPr>
        <w:color w:val="000000"/>
        <w:sz w:val="20"/>
        <w:szCs w:val="20"/>
      </w:rPr>
    </w:pPr>
    <w:r>
      <w:rPr>
        <w:color w:val="000000"/>
        <w:sz w:val="20"/>
        <w:szCs w:val="20"/>
      </w:rPr>
      <w:drawing>
        <wp:anchor distT="0" distB="0" distL="0" distR="0" simplePos="0" relativeHeight="12" behindDoc="1" locked="0" layoutInCell="0" allowOverlap="1">
          <wp:simplePos x="0" y="0"/>
          <wp:positionH relativeFrom="page">
            <wp:posOffset>1236345</wp:posOffset>
          </wp:positionH>
          <wp:positionV relativeFrom="page">
            <wp:posOffset>504190</wp:posOffset>
          </wp:positionV>
          <wp:extent cx="1876425" cy="614045"/>
          <wp:effectExtent l="0" t="0" r="0" b="0"/>
          <wp:wrapNone/>
          <wp:docPr id="2"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pic:cNvPicPr>
                    <a:picLocks noChangeAspect="1" noChangeArrowheads="1"/>
                  </pic:cNvPicPr>
                </pic:nvPicPr>
                <pic:blipFill>
                  <a:blip r:embed="rId1"/>
                  <a:stretch>
                    <a:fillRect/>
                  </a:stretch>
                </pic:blipFill>
                <pic:spPr bwMode="auto">
                  <a:xfrm>
                    <a:off x="0" y="0"/>
                    <a:ext cx="1876425" cy="61404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Roman"/>
      <w:lvlText w:val="%1)"/>
      <w:lvlJc w:val="left"/>
      <w:pPr>
        <w:tabs>
          <w:tab w:val="num" w:pos="0"/>
        </w:tabs>
        <w:ind w:left="720" w:hanging="360"/>
      </w:pPr>
      <w:rPr>
        <w:rFonts w:ascii="Quattrocento Sans" w:hAnsi="Quattrocento Sans" w:eastAsia="Quattrocento Sans" w:cs="Quattrocento Sans"/>
        <w:b w:val="false"/>
        <w:bCs w:val="false"/>
        <w:i w:val="false"/>
        <w:iCs w:val="false"/>
        <w:sz w:val="20"/>
        <w:szCs w:val="20"/>
      </w:rPr>
    </w:lvl>
    <w:lvl w:ilvl="1">
      <w:start w:val="0"/>
      <w:numFmt w:val="bullet"/>
      <w:lvlText w:val=""/>
      <w:lvlJc w:val="left"/>
      <w:pPr>
        <w:tabs>
          <w:tab w:val="num" w:pos="0"/>
        </w:tabs>
        <w:ind w:left="1548" w:hanging="360"/>
      </w:pPr>
      <w:rPr>
        <w:rFonts w:ascii="Symbol" w:hAnsi="Symbol" w:cs="Symbol" w:hint="default"/>
      </w:rPr>
    </w:lvl>
    <w:lvl w:ilvl="2">
      <w:start w:val="0"/>
      <w:numFmt w:val="bullet"/>
      <w:lvlText w:val=""/>
      <w:lvlJc w:val="left"/>
      <w:pPr>
        <w:tabs>
          <w:tab w:val="num" w:pos="0"/>
        </w:tabs>
        <w:ind w:left="2376" w:hanging="360"/>
      </w:pPr>
      <w:rPr>
        <w:rFonts w:ascii="Symbol" w:hAnsi="Symbol" w:cs="Symbol" w:hint="default"/>
      </w:rPr>
    </w:lvl>
    <w:lvl w:ilvl="3">
      <w:start w:val="0"/>
      <w:numFmt w:val="bullet"/>
      <w:lvlText w:val=""/>
      <w:lvlJc w:val="left"/>
      <w:pPr>
        <w:tabs>
          <w:tab w:val="num" w:pos="0"/>
        </w:tabs>
        <w:ind w:left="3204" w:hanging="360"/>
      </w:pPr>
      <w:rPr>
        <w:rFonts w:ascii="Symbol" w:hAnsi="Symbol" w:cs="Symbol" w:hint="default"/>
      </w:rPr>
    </w:lvl>
    <w:lvl w:ilvl="4">
      <w:start w:val="0"/>
      <w:numFmt w:val="bullet"/>
      <w:lvlText w:val=""/>
      <w:lvlJc w:val="left"/>
      <w:pPr>
        <w:tabs>
          <w:tab w:val="num" w:pos="0"/>
        </w:tabs>
        <w:ind w:left="4032" w:hanging="360"/>
      </w:pPr>
      <w:rPr>
        <w:rFonts w:ascii="Symbol" w:hAnsi="Symbol" w:cs="Symbol" w:hint="default"/>
      </w:rPr>
    </w:lvl>
    <w:lvl w:ilvl="5">
      <w:start w:val="0"/>
      <w:numFmt w:val="bullet"/>
      <w:lvlText w:val=""/>
      <w:lvlJc w:val="left"/>
      <w:pPr>
        <w:tabs>
          <w:tab w:val="num" w:pos="0"/>
        </w:tabs>
        <w:ind w:left="4860" w:hanging="360"/>
      </w:pPr>
      <w:rPr>
        <w:rFonts w:ascii="Symbol" w:hAnsi="Symbol" w:cs="Symbol" w:hint="default"/>
      </w:rPr>
    </w:lvl>
    <w:lvl w:ilvl="6">
      <w:start w:val="0"/>
      <w:numFmt w:val="bullet"/>
      <w:lvlText w:val=""/>
      <w:lvlJc w:val="left"/>
      <w:pPr>
        <w:tabs>
          <w:tab w:val="num" w:pos="0"/>
        </w:tabs>
        <w:ind w:left="5688" w:hanging="360"/>
      </w:pPr>
      <w:rPr>
        <w:rFonts w:ascii="Symbol" w:hAnsi="Symbol" w:cs="Symbol" w:hint="default"/>
      </w:rPr>
    </w:lvl>
    <w:lvl w:ilvl="7">
      <w:start w:val="0"/>
      <w:numFmt w:val="bullet"/>
      <w:lvlText w:val=""/>
      <w:lvlJc w:val="left"/>
      <w:pPr>
        <w:tabs>
          <w:tab w:val="num" w:pos="0"/>
        </w:tabs>
        <w:ind w:left="6516" w:hanging="360"/>
      </w:pPr>
      <w:rPr>
        <w:rFonts w:ascii="Symbol" w:hAnsi="Symbol" w:cs="Symbol" w:hint="default"/>
      </w:rPr>
    </w:lvl>
    <w:lvl w:ilvl="8">
      <w:start w:val="0"/>
      <w:numFmt w:val="bullet"/>
      <w:lvlText w:val=""/>
      <w:lvlJc w:val="left"/>
      <w:pPr>
        <w:tabs>
          <w:tab w:val="num" w:pos="0"/>
        </w:tabs>
        <w:ind w:left="7344" w:hanging="360"/>
      </w:pPr>
      <w:rPr>
        <w:rFonts w:ascii="Symbol" w:hAnsi="Symbol" w:cs="Symbol" w:hint="default"/>
      </w:rPr>
    </w:lvl>
  </w:abstractNum>
  <w:abstractNum w:abstractNumId="2">
    <w:lvl w:ilvl="0">
      <w:start w:val="1"/>
      <w:numFmt w:val="lowerRoman"/>
      <w:lvlText w:val="%1)"/>
      <w:lvlJc w:val="left"/>
      <w:pPr>
        <w:tabs>
          <w:tab w:val="num" w:pos="0"/>
        </w:tabs>
        <w:ind w:left="1080" w:hanging="720"/>
      </w:pPr>
      <w:rPr>
        <w:rFonts w:ascii="Quattrocento Sans" w:hAnsi="Quattrocento Sans" w:eastAsia="Quattrocento Sans" w:cs="Quattrocento Sans"/>
        <w:b w:val="false"/>
        <w:bCs w:val="false"/>
        <w:i w:val="false"/>
        <w:iCs w:val="false"/>
        <w:sz w:val="20"/>
        <w:szCs w:val="20"/>
      </w:rPr>
    </w:lvl>
    <w:lvl w:ilvl="1">
      <w:start w:val="0"/>
      <w:numFmt w:val="bullet"/>
      <w:lvlText w:val=""/>
      <w:lvlJc w:val="left"/>
      <w:pPr>
        <w:tabs>
          <w:tab w:val="num" w:pos="0"/>
        </w:tabs>
        <w:ind w:left="1872" w:hanging="720"/>
      </w:pPr>
      <w:rPr>
        <w:rFonts w:ascii="Symbol" w:hAnsi="Symbol" w:cs="Symbol" w:hint="default"/>
      </w:rPr>
    </w:lvl>
    <w:lvl w:ilvl="2">
      <w:start w:val="0"/>
      <w:numFmt w:val="bullet"/>
      <w:lvlText w:val=""/>
      <w:lvlJc w:val="left"/>
      <w:pPr>
        <w:tabs>
          <w:tab w:val="num" w:pos="0"/>
        </w:tabs>
        <w:ind w:left="2664" w:hanging="720"/>
      </w:pPr>
      <w:rPr>
        <w:rFonts w:ascii="Symbol" w:hAnsi="Symbol" w:cs="Symbol" w:hint="default"/>
      </w:rPr>
    </w:lvl>
    <w:lvl w:ilvl="3">
      <w:start w:val="0"/>
      <w:numFmt w:val="bullet"/>
      <w:lvlText w:val=""/>
      <w:lvlJc w:val="left"/>
      <w:pPr>
        <w:tabs>
          <w:tab w:val="num" w:pos="0"/>
        </w:tabs>
        <w:ind w:left="3456" w:hanging="720"/>
      </w:pPr>
      <w:rPr>
        <w:rFonts w:ascii="Symbol" w:hAnsi="Symbol" w:cs="Symbol" w:hint="default"/>
      </w:rPr>
    </w:lvl>
    <w:lvl w:ilvl="4">
      <w:start w:val="0"/>
      <w:numFmt w:val="bullet"/>
      <w:lvlText w:val=""/>
      <w:lvlJc w:val="left"/>
      <w:pPr>
        <w:tabs>
          <w:tab w:val="num" w:pos="0"/>
        </w:tabs>
        <w:ind w:left="4248" w:hanging="720"/>
      </w:pPr>
      <w:rPr>
        <w:rFonts w:ascii="Symbol" w:hAnsi="Symbol" w:cs="Symbol" w:hint="default"/>
      </w:rPr>
    </w:lvl>
    <w:lvl w:ilvl="5">
      <w:start w:val="0"/>
      <w:numFmt w:val="bullet"/>
      <w:lvlText w:val=""/>
      <w:lvlJc w:val="left"/>
      <w:pPr>
        <w:tabs>
          <w:tab w:val="num" w:pos="0"/>
        </w:tabs>
        <w:ind w:left="5040" w:hanging="720"/>
      </w:pPr>
      <w:rPr>
        <w:rFonts w:ascii="Symbol" w:hAnsi="Symbol" w:cs="Symbol" w:hint="default"/>
      </w:rPr>
    </w:lvl>
    <w:lvl w:ilvl="6">
      <w:start w:val="0"/>
      <w:numFmt w:val="bullet"/>
      <w:lvlText w:val=""/>
      <w:lvlJc w:val="left"/>
      <w:pPr>
        <w:tabs>
          <w:tab w:val="num" w:pos="0"/>
        </w:tabs>
        <w:ind w:left="5832" w:hanging="720"/>
      </w:pPr>
      <w:rPr>
        <w:rFonts w:ascii="Symbol" w:hAnsi="Symbol" w:cs="Symbol" w:hint="default"/>
      </w:rPr>
    </w:lvl>
    <w:lvl w:ilvl="7">
      <w:start w:val="0"/>
      <w:numFmt w:val="bullet"/>
      <w:lvlText w:val=""/>
      <w:lvlJc w:val="left"/>
      <w:pPr>
        <w:tabs>
          <w:tab w:val="num" w:pos="0"/>
        </w:tabs>
        <w:ind w:left="6624" w:hanging="720"/>
      </w:pPr>
      <w:rPr>
        <w:rFonts w:ascii="Symbol" w:hAnsi="Symbol" w:cs="Symbol" w:hint="default"/>
      </w:rPr>
    </w:lvl>
    <w:lvl w:ilvl="8">
      <w:start w:val="0"/>
      <w:numFmt w:val="bullet"/>
      <w:lvlText w:val=""/>
      <w:lvlJc w:val="left"/>
      <w:pPr>
        <w:tabs>
          <w:tab w:val="num" w:pos="0"/>
        </w:tabs>
        <w:ind w:left="7416" w:hanging="720"/>
      </w:pPr>
      <w:rPr>
        <w:rFonts w:ascii="Symbol" w:hAnsi="Symbol" w:cs="Symbol" w:hint="default"/>
      </w:rPr>
    </w:lvl>
  </w:abstractNum>
  <w:abstractNum w:abstractNumId="3">
    <w:lvl w:ilvl="0">
      <w:start w:val="1"/>
      <w:numFmt w:val="lowerLetter"/>
      <w:lvlText w:val="%1)"/>
      <w:lvlJc w:val="left"/>
      <w:pPr>
        <w:tabs>
          <w:tab w:val="num" w:pos="0"/>
        </w:tabs>
        <w:ind w:left="0" w:hanging="247"/>
      </w:pPr>
      <w:rPr>
        <w:rFonts w:ascii="Quattrocento Sans" w:hAnsi="Quattrocento Sans" w:eastAsia="Quattrocento Sans" w:cs="Quattrocento Sans"/>
        <w:b/>
        <w:bCs/>
        <w:i w:val="false"/>
        <w:iCs w:val="false"/>
        <w:sz w:val="20"/>
        <w:szCs w:val="20"/>
      </w:rPr>
    </w:lvl>
    <w:lvl w:ilvl="1">
      <w:start w:val="1"/>
      <w:numFmt w:val="lowerRoman"/>
      <w:lvlText w:val="%1.%2)"/>
      <w:lvlJc w:val="left"/>
      <w:pPr>
        <w:tabs>
          <w:tab w:val="num" w:pos="0"/>
        </w:tabs>
        <w:ind w:left="394" w:hanging="394"/>
      </w:pPr>
      <w:rPr>
        <w:rFonts w:ascii="Quattrocento Sans" w:hAnsi="Quattrocento Sans" w:eastAsia="Quattrocento Sans" w:cs="Quattrocento Sans"/>
        <w:b/>
        <w:bCs/>
        <w:i w:val="false"/>
        <w:iCs w:val="false"/>
        <w:sz w:val="20"/>
        <w:szCs w:val="20"/>
      </w:rPr>
    </w:lvl>
    <w:lvl w:ilvl="2">
      <w:start w:val="0"/>
      <w:numFmt w:val="bullet"/>
      <w:lvlText w:val="●"/>
      <w:lvlJc w:val="left"/>
      <w:pPr>
        <w:tabs>
          <w:tab w:val="num" w:pos="0"/>
        </w:tabs>
        <w:ind w:left="720" w:hanging="360"/>
      </w:pPr>
      <w:rPr>
        <w:rFonts w:ascii="Noto Sans Symbols" w:hAnsi="Noto Sans Symbols" w:cs="Noto Sans Symbols" w:hint="default"/>
        <w:b w:val="false"/>
        <w:bCs w:val="false"/>
        <w:i w:val="false"/>
        <w:iCs w:val="false"/>
        <w:sz w:val="20"/>
        <w:szCs w:val="20"/>
      </w:rPr>
    </w:lvl>
    <w:lvl w:ilvl="3">
      <w:start w:val="0"/>
      <w:numFmt w:val="bullet"/>
      <w:lvlText w:val=""/>
      <w:lvlJc w:val="left"/>
      <w:pPr>
        <w:tabs>
          <w:tab w:val="num" w:pos="0"/>
        </w:tabs>
        <w:ind w:left="1755" w:hanging="360"/>
      </w:pPr>
      <w:rPr>
        <w:rFonts w:ascii="Symbol" w:hAnsi="Symbol" w:cs="Symbol" w:hint="default"/>
      </w:rPr>
    </w:lvl>
    <w:lvl w:ilvl="4">
      <w:start w:val="0"/>
      <w:numFmt w:val="bullet"/>
      <w:lvlText w:val=""/>
      <w:lvlJc w:val="left"/>
      <w:pPr>
        <w:tabs>
          <w:tab w:val="num" w:pos="0"/>
        </w:tabs>
        <w:ind w:left="2790" w:hanging="360"/>
      </w:pPr>
      <w:rPr>
        <w:rFonts w:ascii="Symbol" w:hAnsi="Symbol" w:cs="Symbol" w:hint="default"/>
      </w:rPr>
    </w:lvl>
    <w:lvl w:ilvl="5">
      <w:start w:val="0"/>
      <w:numFmt w:val="bullet"/>
      <w:lvlText w:val=""/>
      <w:lvlJc w:val="left"/>
      <w:pPr>
        <w:tabs>
          <w:tab w:val="num" w:pos="0"/>
        </w:tabs>
        <w:ind w:left="3825" w:hanging="360"/>
      </w:pPr>
      <w:rPr>
        <w:rFonts w:ascii="Symbol" w:hAnsi="Symbol" w:cs="Symbol" w:hint="default"/>
      </w:rPr>
    </w:lvl>
    <w:lvl w:ilvl="6">
      <w:start w:val="0"/>
      <w:numFmt w:val="bullet"/>
      <w:lvlText w:val=""/>
      <w:lvlJc w:val="left"/>
      <w:pPr>
        <w:tabs>
          <w:tab w:val="num" w:pos="0"/>
        </w:tabs>
        <w:ind w:left="4860" w:hanging="360"/>
      </w:pPr>
      <w:rPr>
        <w:rFonts w:ascii="Symbol" w:hAnsi="Symbol" w:cs="Symbol" w:hint="default"/>
      </w:rPr>
    </w:lvl>
    <w:lvl w:ilvl="7">
      <w:start w:val="0"/>
      <w:numFmt w:val="bullet"/>
      <w:lvlText w:val=""/>
      <w:lvlJc w:val="left"/>
      <w:pPr>
        <w:tabs>
          <w:tab w:val="num" w:pos="0"/>
        </w:tabs>
        <w:ind w:left="5895" w:hanging="360"/>
      </w:pPr>
      <w:rPr>
        <w:rFonts w:ascii="Symbol" w:hAnsi="Symbol" w:cs="Symbol" w:hint="default"/>
      </w:rPr>
    </w:lvl>
    <w:lvl w:ilvl="8">
      <w:start w:val="0"/>
      <w:numFmt w:val="bullet"/>
      <w:lvlText w:val=""/>
      <w:lvlJc w:val="left"/>
      <w:pPr>
        <w:tabs>
          <w:tab w:val="num" w:pos="0"/>
        </w:tabs>
        <w:ind w:left="6930" w:hanging="360"/>
      </w:pPr>
      <w:rPr>
        <w:rFonts w:ascii="Symbol" w:hAnsi="Symbol" w:cs="Symbol" w:hint="default"/>
      </w:rPr>
    </w:lvl>
  </w:abstractNum>
  <w:abstractNum w:abstractNumId="4">
    <w:lvl w:ilvl="0">
      <w:start w:val="1"/>
      <w:numFmt w:val="lowerLetter"/>
      <w:lvlText w:val="%1)"/>
      <w:lvlJc w:val="left"/>
      <w:pPr>
        <w:tabs>
          <w:tab w:val="num" w:pos="0"/>
        </w:tabs>
        <w:ind w:left="754" w:hanging="359"/>
      </w:pPr>
      <w:rPr/>
    </w:lvl>
    <w:lvl w:ilvl="1">
      <w:start w:val="1"/>
      <w:numFmt w:val="lowerLetter"/>
      <w:lvlText w:val="%2."/>
      <w:lvlJc w:val="left"/>
      <w:pPr>
        <w:tabs>
          <w:tab w:val="num" w:pos="0"/>
        </w:tabs>
        <w:ind w:left="1474" w:hanging="360"/>
      </w:pPr>
      <w:rPr/>
    </w:lvl>
    <w:lvl w:ilvl="2">
      <w:start w:val="1"/>
      <w:numFmt w:val="lowerRoman"/>
      <w:lvlText w:val="%3."/>
      <w:lvlJc w:val="right"/>
      <w:pPr>
        <w:tabs>
          <w:tab w:val="num" w:pos="0"/>
        </w:tabs>
        <w:ind w:left="2194" w:hanging="180"/>
      </w:pPr>
      <w:rPr/>
    </w:lvl>
    <w:lvl w:ilvl="3">
      <w:start w:val="1"/>
      <w:numFmt w:val="decimal"/>
      <w:lvlText w:val="%4."/>
      <w:lvlJc w:val="left"/>
      <w:pPr>
        <w:tabs>
          <w:tab w:val="num" w:pos="0"/>
        </w:tabs>
        <w:ind w:left="2914" w:hanging="360"/>
      </w:pPr>
      <w:rPr/>
    </w:lvl>
    <w:lvl w:ilvl="4">
      <w:start w:val="1"/>
      <w:numFmt w:val="lowerLetter"/>
      <w:lvlText w:val="%5."/>
      <w:lvlJc w:val="left"/>
      <w:pPr>
        <w:tabs>
          <w:tab w:val="num" w:pos="0"/>
        </w:tabs>
        <w:ind w:left="3634" w:hanging="360"/>
      </w:pPr>
      <w:rPr/>
    </w:lvl>
    <w:lvl w:ilvl="5">
      <w:start w:val="1"/>
      <w:numFmt w:val="lowerRoman"/>
      <w:lvlText w:val="%6."/>
      <w:lvlJc w:val="right"/>
      <w:pPr>
        <w:tabs>
          <w:tab w:val="num" w:pos="0"/>
        </w:tabs>
        <w:ind w:left="4354" w:hanging="180"/>
      </w:pPr>
      <w:rPr/>
    </w:lvl>
    <w:lvl w:ilvl="6">
      <w:start w:val="1"/>
      <w:numFmt w:val="decimal"/>
      <w:lvlText w:val="%7."/>
      <w:lvlJc w:val="left"/>
      <w:pPr>
        <w:tabs>
          <w:tab w:val="num" w:pos="0"/>
        </w:tabs>
        <w:ind w:left="5074" w:hanging="360"/>
      </w:pPr>
      <w:rPr/>
    </w:lvl>
    <w:lvl w:ilvl="7">
      <w:start w:val="1"/>
      <w:numFmt w:val="lowerLetter"/>
      <w:lvlText w:val="%8."/>
      <w:lvlJc w:val="left"/>
      <w:pPr>
        <w:tabs>
          <w:tab w:val="num" w:pos="0"/>
        </w:tabs>
        <w:ind w:left="5794" w:hanging="360"/>
      </w:pPr>
      <w:rPr/>
    </w:lvl>
    <w:lvl w:ilvl="8">
      <w:start w:val="1"/>
      <w:numFmt w:val="lowerRoman"/>
      <w:lvlText w:val="%9."/>
      <w:lvlJc w:val="right"/>
      <w:pPr>
        <w:tabs>
          <w:tab w:val="num" w:pos="0"/>
        </w:tabs>
        <w:ind w:left="6514"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60"/>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Quattrocento Sans" w:hAnsi="Quattrocento Sans" w:eastAsia="Quattrocento Sans" w:cs="Quattrocento Sans"/>
        <w:sz w:val="22"/>
        <w:szCs w:val="22"/>
        <w:lang w:val="es-E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Quattrocento Sans" w:hAnsi="Quattrocento Sans" w:eastAsia="Quattrocento Sans" w:cs="Quattrocento Sans"/>
      <w:color w:val="auto"/>
      <w:kern w:val="0"/>
      <w:sz w:val="22"/>
      <w:szCs w:val="22"/>
      <w:lang w:val="es-ES"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normal1" w:default="1">
    <w:name w:val="normal1"/>
    <w:qFormat/>
    <w:pPr>
      <w:widowControl w:val="false"/>
      <w:suppressAutoHyphens w:val="true"/>
      <w:bidi w:val="0"/>
      <w:spacing w:before="0" w:after="0"/>
      <w:jc w:val="left"/>
    </w:pPr>
    <w:rPr>
      <w:rFonts w:ascii="Quattrocento Sans" w:hAnsi="Quattrocento Sans" w:eastAsia="Quattrocento Sans" w:cs="Quattrocento Sans"/>
      <w:color w:val="auto"/>
      <w:kern w:val="0"/>
      <w:sz w:val="22"/>
      <w:szCs w:val="22"/>
      <w:lang w:val="es-ES"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Cabeceraypie"/>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YY0ilM39Gm4sOYKnXeO4faSalDg==">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TotalTime>
  <Application>LibreOffice/26.2.3.2$Linux_X86_64 LibreOffice_project/620$Build-2</Application>
  <AppVersion>15.0000</AppVersion>
  <Pages>11</Pages>
  <Words>3458</Words>
  <Characters>20077</Characters>
  <CharactersWithSpaces>23455</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es-GT</dc:language>
  <cp:lastModifiedBy/>
  <dcterms:modified xsi:type="dcterms:W3CDTF">2026-06-09T11:23:38Z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2025-09-26T00:00:00Z</vt:lpwstr>
  </property>
  <property fmtid="{D5CDD505-2E9C-101B-9397-08002B2CF9AE}" pid="3" name="Creator">
    <vt:lpwstr>Microsoft® Word para Microsoft 365</vt:lpwstr>
  </property>
  <property fmtid="{D5CDD505-2E9C-101B-9397-08002B2CF9AE}" pid="4" name="LastSaved">
    <vt:lpwstr>2026-02-19T00:00:00Z</vt:lpwstr>
  </property>
  <property fmtid="{D5CDD505-2E9C-101B-9397-08002B2CF9AE}" pid="5" name="Producer">
    <vt:lpwstr>Microsoft® Word para Microsoft 365</vt:lpwstr>
  </property>
</Properties>
</file>