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CONTRATO DE PRESTACIÓN DE SERVICIOS DE RECEPCIÓN DE PAGOS POR CUENTA DE TERCEROS Y GESTIONES DE COBRANZA</w:t>
      </w:r>
    </w:p>
    <w:p>
      <w:pPr>
        <w:pStyle w:val="normal1"/>
        <w:keepNext w:val="false"/>
        <w:keepLines w:val="false"/>
        <w:pageBreakBefore w:val="false"/>
        <w:widowControl w:val="false"/>
        <w:shd w:val="clear" w:fill="auto"/>
        <w:spacing w:lineRule="auto" w:line="240" w:before="173"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Nosotros:</w:t>
      </w:r>
    </w:p>
    <w:p>
      <w:pPr>
        <w:pStyle w:val="normal1"/>
        <w:keepNext w:val="false"/>
        <w:keepLines w:val="false"/>
        <w:pageBreakBefore w:val="false"/>
        <w:widowControl w:val="false"/>
        <w:numPr>
          <w:ilvl w:val="0"/>
          <w:numId w:val="5"/>
        </w:numPr>
        <w:shd w:val="clear" w:fill="auto"/>
        <w:tabs>
          <w:tab w:val="clear" w:pos="720"/>
          <w:tab w:val="left" w:pos="812" w:leader="none"/>
          <w:tab w:val="left" w:pos="3058" w:leader="none"/>
          <w:tab w:val="left" w:pos="4152" w:leader="none"/>
          <w:tab w:val="left" w:pos="5922" w:leader="none"/>
        </w:tabs>
        <w:spacing w:lineRule="auto" w:line="276" w:before="240"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JOSÉ ANDRES ASENSIO HERNÁNDEZ,</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w:t>
      </w:r>
      <w:sdt>
        <w:sdtPr>
          <w:tag w:val="goog_rdk_0"/>
          <w:id w:val="-1941814931"/>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{edadAndres}</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años de edad, casado, Comerciante, guatemalteco, de este domicilio, me identifico con el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Administrador Único y Representante Legal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la entidad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CUBE INVESTMENTS,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también referido como la “Contratista” o “Cube Investments”),</w:t>
      </w:r>
    </w:p>
    <w:p>
      <w:pPr>
        <w:pStyle w:val="normal1"/>
        <w:keepNext w:val="false"/>
        <w:keepLines w:val="false"/>
        <w:pageBreakBefore w:val="false"/>
        <w:widowControl w:val="false"/>
        <w:numPr>
          <w:ilvl w:val="0"/>
          <w:numId w:val="5"/>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bookmarkStart w:id="0" w:name="_heading=h.v31hv44zxwf2"/>
      <w:bookmarkEnd w:id="0"/>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RICHARD KACHLER ORTEGA,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{edadRichard}</w:t>
      </w:r>
      <w:r>
        <w:rPr>
          <w:sz w:val="20"/>
          <w:szCs w:val="20"/>
        </w:rPr>
        <w:t xml:space="preserve"> 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ños de edad, soltero, Licenciado en Administración Hotelera, guatemalteco, de este domicilio, me identifico con Documento Personal de Identificación, Código Único de Identificación un mil quinientos setenta y tres, sesenta y seis mil ciento noventa y siete, cero ciento uno (1573 66197 0101), extendido por el Registro Nacional de las Personas –RENAP- República de Guatemala Centroamérica, actuando en mi calidad de </w:t>
      </w:r>
      <w:r>
        <w:rPr>
          <w:rFonts w:eastAsia="Quattrocento Sans" w:cs="Quattrocento Sans"/>
          <w:b/>
          <w:bCs/>
          <w:i/>
          <w:iCs/>
          <w:caps w:val="false"/>
          <w:smallCaps w:val="false"/>
          <w:strike w:val="false"/>
          <w:dstrike w:val="false"/>
          <w:color w:val="000000"/>
          <w:position w:val="0"/>
          <w:sz w:val="20"/>
          <w:szCs w:val="20"/>
          <w:u w:val="none"/>
          <w:shd w:fill="auto" w:val="clear"/>
          <w:vertAlign w:val="baseline"/>
        </w:rPr>
        <w:t>Administrador Y Representante Legal,</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la entidad mercantil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RDBE,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(en adelante también referido como la entidad “GARANTE”); y,</w:t>
      </w:r>
    </w:p>
    <w:p>
      <w:pPr>
        <w:pStyle w:val="normal1"/>
        <w:keepNext w:val="false"/>
        <w:keepLines w:val="false"/>
        <w:pageBreakBefore w:val="false"/>
        <w:widowControl w:val="false"/>
        <w:numPr>
          <w:ilvl w:val="0"/>
          <w:numId w:val="5"/>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{nombreCompleto},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w:t>
      </w:r>
      <w:r>
        <w:rPr>
          <w:sz w:val="20"/>
          <w:szCs w:val="20"/>
        </w:rPr>
        <w:t xml:space="preserve">{edad}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años de edad, {estadoCivil}, {profesion}, {nacionalidad}, de este domicilio, me identifico con Documento Personal de Identificación, Código Único de Identificación {dpiTexto}, extendido por el Registro Nacional de las Personas –RENAP-, República de Guatemala, Centroamérica, actúo en representación de la entidad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{nombreSociedadInversionista}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calidad que acredito con el Acta Notarial que contiene mi nombramiento, autorizada en esta ciudad el día {fechaAutorizacionActaNombramiento}, por el Notario {nombreNotarioActaNombramiento} acta que se encuentra inscrita en el Registro Mercantil General de la República al número de Registro: {numeroRegistroSociedad} Folio: {folioRegistroSociedad}; Libro: {libroRegistroSociedad}  de Auxiliares de Comercio (en adelante referido como la “Contratante”)</w:t>
      </w:r>
    </w:p>
    <w:p>
      <w:pPr>
        <w:pStyle w:val="normal1"/>
        <w:keepNext w:val="false"/>
        <w:keepLines w:val="false"/>
        <w:pageBreakBefore w:val="false"/>
        <w:widowControl w:val="false"/>
        <w:shd w:val="clear" w:fill="auto"/>
        <w:spacing w:lineRule="auto" w:line="276" w:before="24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Expresamos ser de las generales indicadas; hallarnos en el libre ejercicio de nuestros derechos civiles; y, que en las calidades con que actuamos, comparecemos con el objeto de celebrar CONTRATO DE PRESTACIÓN DE SERVICIOS DE RECEPCIÓN DE PAGOS POR</w:t>
      </w:r>
    </w:p>
    <w:p>
      <w:pPr>
        <w:pStyle w:val="normal1"/>
        <w:keepNext w:val="false"/>
        <w:keepLines w:val="false"/>
        <w:pageBreakBefore w:val="false"/>
        <w:widowControl w:val="false"/>
        <w:shd w:val="clear" w:fill="auto"/>
        <w:spacing w:lineRule="auto" w:line="264"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CUENTA DE TERCEROS Y GESTIONES DE COBRANZA (en adelante “Contrato de Servicios”</w:t>
      </w:r>
    </w:p>
    <w:p>
      <w:pPr>
        <w:pStyle w:val="normal1"/>
        <w:keepNext w:val="false"/>
        <w:keepLines w:val="false"/>
        <w:pageBreakBefore w:val="false"/>
        <w:widowControl w:val="false"/>
        <w:shd w:val="clear" w:fill="auto"/>
        <w:spacing w:lineRule="auto" w:line="240" w:before="39"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 simplemente el “Contrato”), para lo cual manifestamos lo siguiente:</w:t>
      </w:r>
    </w:p>
    <w:p>
      <w:pPr>
        <w:pStyle w:val="normal1"/>
        <w:keepNext w:val="false"/>
        <w:keepLines w:val="false"/>
        <w:pageBreakBefore w:val="false"/>
        <w:widowControl w:val="false"/>
        <w:shd w:val="clear" w:fill="auto"/>
        <w:spacing w:lineRule="auto" w:line="240" w:before="1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ANTECEDENTES:</w:t>
      </w:r>
    </w:p>
    <w:p>
      <w:pPr>
        <w:pStyle w:val="normal1"/>
        <w:keepNext w:val="false"/>
        <w:keepLines w:val="false"/>
        <w:pageBreakBefore w:val="false"/>
        <w:widowControl w:val="false"/>
        <w:shd w:val="clear" w:fill="auto"/>
        <w:tabs>
          <w:tab w:val="clear" w:pos="720"/>
          <w:tab w:val="left" w:pos="5422" w:leader="none"/>
        </w:tabs>
        <w:spacing w:lineRule="auto" w:line="276" w:before="24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manifiestan que, con fecha {fechaInicioContrato}, suscribieron un Acuerdo Privado de Inversión (el “Acuerdo”), en el cual estipularon y acordaron las condiciones bajo las cuales la contratante, a su sola discreción, podrá invertir recursos monetarios por medio de la plataforma propiedad de la Contratista. En consecuencia, el presente Contrato de Servicios debe interpretarse dentro del marco, estipulaciones y limitaciones del referido Acuerdo.</w:t>
      </w:r>
    </w:p>
    <w:p>
      <w:pPr>
        <w:pStyle w:val="normal1"/>
        <w:keepNext w:val="false"/>
        <w:keepLines w:val="false"/>
        <w:pageBreakBefore w:val="false"/>
        <w:widowControl w:val="false"/>
        <w:shd w:val="clear" w:fill="auto"/>
        <w:spacing w:lineRule="auto" w:line="276" w:before="20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manifiesta que, derivado del Acuerdo de Inversión, podrá participar bajo distintas modalidades de inversión, incluyendo: (i) la celebración de contratos de cesión de créditos, o (ii) la celebración de contratos de reconocimiento de deuda con distintas personas naturales o jurídicas (los “Contratos de Deuda”), mismos que se formalizarán en sus respectivos instrumentos y que podrán adjuntarse como anexos al presente Contrato, de tiempo en tiempo. Cada Contrato de Deuda reflejará el capital adeudado a favor de la contratante y los intereses pactados conforme a sus condiciones individuales; así mismo, cada cesión de deuda que se le haga a su favor reflejará también las condiciones acordadas en su momento con el cliente en particular.</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Asimismo, derivado de la forma de participación en la inversión elegida, las partes acuerdan que todo pago de capital e intereses a favor de la contratante se canalizará a través de Cube Investments, S.A., quien, en calidad de administrador, receptora de pagos por cuenta de tercero y agente de cobranza, recibirá dichos pagos y los trasladará a la contratante conforme a lo estipulado en cada Contrato de Deuda y el Acuerdo de Inversión. La responsabilidad de Cube Investments, S.A. se limita a la correcta administración y traslado de los fondos efectivamente recibidos, sin garantizar el pago oportuno o íntegro por parte del deudor.</w:t>
      </w:r>
    </w:p>
    <w:p>
      <w:pPr>
        <w:pStyle w:val="normal1"/>
        <w:keepNext w:val="false"/>
        <w:keepLines w:val="false"/>
        <w:pageBreakBefore w:val="false"/>
        <w:widowControl w:val="false"/>
        <w:shd w:val="clear" w:fill="auto"/>
        <w:spacing w:lineRule="auto" w:line="276" w:before="20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igual forma, cuando la modalidad elegida consista en la adquisición de créditos en cartera activa,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acepta recibir dichos créditos en el estado en que se encuentren, incluyendo las condiciones y garantías constituidas, sin que exista obligación de Cube Investments, S.A. de subrogar, novar o modificar tales condiciones.</w:t>
      </w:r>
    </w:p>
    <w:p>
      <w:pPr>
        <w:pStyle w:val="normal1"/>
        <w:keepNext w:val="false"/>
        <w:keepLines w:val="false"/>
        <w:pageBreakBefore w:val="false"/>
        <w:widowControl w:val="false"/>
        <w:shd w:val="clear" w:fill="auto"/>
        <w:spacing w:lineRule="auto" w:line="240" w:before="199"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OBJETO DEL CONTRATO Y HONORARIOS DEL CONTRATISTA.</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medio del presente Contrato, Cube Investments, Sociedad Anónima (la “Contratista”) se compromete a prestar servicios de administración, consistentes en la recepción de pagos por cuenta de terceros y en la realización de todas las gestiones ordinarias de cobro, judiciales y extrajudiciales, respecto de los pagos de capital e intereses pactados a favor de la contratante en cada Contrato de Deuda. Las Partes acuerdan expresamente que las obligaciones de la Contratista son de medio y no de resultado, por lo que no garantiza el pago oportuno ni íntegro del deudor.</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Como contraprestación, la Contratista percibirá honorarios equivalentes al {porcentajeLetrasCube} por ciento (</w:t>
      </w:r>
      <w:sdt>
        <w:sdtPr>
          <w:tag w:val="goog_rdk_10"/>
          <w:id w:val="242296728"/>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{porcentajeNumeroCube}%) de los intereses efectivamente cobrados en nombre de la contratante que percibirá honorarios equivalentes al {porcentajeLetrasInversionista} por ciento ({porcentajeNumeroInversionista}%) Dichos honorarios se calcularán y liquidarán de forma mensual durante la vigencia del presente Contrato y conforme a cada Contrato de Deuda.</w:t>
      </w:r>
    </w:p>
    <w:p>
      <w:pPr>
        <w:pStyle w:val="normal1"/>
        <w:keepNext w:val="false"/>
        <w:keepLines w:val="false"/>
        <w:pageBreakBefore w:val="false"/>
        <w:widowControl w:val="false"/>
        <w:shd w:val="clear" w:fill="auto"/>
        <w:spacing w:lineRule="auto" w:line="276" w:before="205"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autoriza de forma expresa e irrevocable a la Contratista a deducir y retener sus honorarios directamente de los pagos de intereses que reciba por cuenta de la contratante, reintegrando únicamente el saldo neto correspondiente, incluyendo el capital recibido, siempre y cuando no haya optado por cualquier modalidad de inversión en contario, conforme al acuerdo de inversión.</w:t>
      </w:r>
    </w:p>
    <w:p>
      <w:pPr>
        <w:pStyle w:val="normal1"/>
        <w:keepNext w:val="false"/>
        <w:keepLines w:val="false"/>
        <w:pageBreakBefore w:val="false"/>
        <w:widowControl w:val="false"/>
        <w:shd w:val="clear" w:fill="auto"/>
        <w:spacing w:lineRule="auto" w:line="276" w:before="202" w:after="0"/>
        <w:ind w:hanging="0" w:left="566"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efectos de cálculo, la tasa de interés pactada en los Contratos de Deuda no podrá ser inferior al uno punto cinco por ciento (1.5%) mensual más IVA, salvo autorización expresa y por escrito de la contratante.</w:t>
      </w:r>
    </w:p>
    <w:p>
      <w:pPr>
        <w:pStyle w:val="normal1"/>
        <w:keepNext w:val="false"/>
        <w:keepLines w:val="false"/>
        <w:pageBreakBefore w:val="false"/>
        <w:widowControl w:val="false"/>
        <w:shd w:val="clear" w:fill="auto"/>
        <w:spacing w:lineRule="auto" w:line="240" w:before="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Cada Parte será responsable de sus propias obligaciones tributarias derivadas de los distintos contratos celebrados en el marco del presente instrumento.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reconoce que le corresponde emitir las facturas por los intereses que reciba del Deudor, conforme a la legislación aplicable.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En caso </w:t>
      </w:r>
      <w:r>
        <w:rPr>
          <w:sz w:val="20"/>
          <w:szCs w:val="20"/>
        </w:rPr>
        <w:t xml:space="preserve">la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no emita la factura correspondiente en el plazo legal, la Contratista no asumirá responsabilidad alguna por dicho incumplimiento. En tal supuesto, Cube Investments, Sociedad Anónima tendrá derecho a emitir la factura por la cuota total recibida de parte del Deudor y a trasladar a la contratante únicamente el monto neto que corresponda, descontando los impuestos aplicables.</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que cualquier inversión incurra en atraso o impago por parte del Deudor, la Contratista tendrá la facultad de iniciar y continuar, a su sola discreción, las gestiones de cobro judicial correspondientes, sin requerir autorización previa de la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costos, honorarios y gastos derivados de dichas gestiones podrán ser asumidos inicialmente por la Contratista como parte de su gestión de recuperación, y serán recuperados con cargo a los montos efectivamente percibidos del Deudor, o integrados dentro de la estructura de costos de la operación, sin que ello implique obligación de pago directo o desembolso por parte de la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reconoce que la gestión judicial forma parte del servicio integral de administración de cartera prestado por la Contratista.</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GESTION DE COBRANZA Y RECEPCIÓN DE PAGOS POR CUENTA DE TERCEROS</w:t>
      </w:r>
    </w:p>
    <w:p>
      <w:pPr>
        <w:pStyle w:val="normal1"/>
        <w:keepNext w:val="false"/>
        <w:keepLines w:val="false"/>
        <w:pageBreakBefore w:val="false"/>
        <w:widowControl w:val="false"/>
        <w:shd w:val="clear" w:fill="auto"/>
        <w:spacing w:lineRule="auto" w:line="240" w:before="81"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se obliga a prestar servicios de gestión de cobro y recepción de pagos por cuenta de la contratante, consistentes en realizar todas las gestiones ordinarias necesarias para procurar el cobro de capital e intereses a favor de la contratante frente al Deudor respectivos, sin que ello implique obligación de resultado, sino de medios.</w:t>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numPr>
          <w:ilvl w:val="1"/>
          <w:numId w:val="5"/>
        </w:numPr>
        <w:shd w:val="clear" w:fill="auto"/>
        <w:tabs>
          <w:tab w:val="clear" w:pos="720"/>
          <w:tab w:val="left" w:pos="925" w:leader="none"/>
        </w:tabs>
        <w:spacing w:lineRule="auto" w:line="240" w:before="1" w:after="0"/>
        <w:ind w:hanging="359" w:left="925"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Gestión de inversiones y cobro</w:t>
      </w:r>
    </w:p>
    <w:p>
      <w:pPr>
        <w:pStyle w:val="normal1"/>
        <w:tabs>
          <w:tab w:val="clear" w:pos="720"/>
          <w:tab w:val="left" w:pos="925" w:leader="none"/>
        </w:tabs>
        <w:spacing w:lineRule="auto" w:line="240" w:before="1" w:after="0"/>
        <w:ind w:hanging="0" w:left="566"/>
        <w:rPr>
          <w:sz w:val="20"/>
          <w:szCs w:val="20"/>
        </w:rPr>
      </w:pPr>
      <w:r>
        <w:rPr>
          <w:sz w:val="20"/>
          <w:szCs w:val="20"/>
        </w:rPr>
        <w:t>Los servicios de gestión de inversiones y cobro que la Contratista efectuará en nombre y favor de la contratante incluirán:</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0"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Presentar 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cada nueva inversión que cumpla con los criterios establecidos en el Acuerdo para su confirmación escrita.</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2"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Formalizar el Contrato de Deuda correspondiente una vez aceptada la inversión por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199"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los desembolsos de la contratante y trasladarlos conforme a las instrucciones acordadas.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0" w:after="0"/>
        <w:ind w:hanging="360" w:left="720"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Incorporar cada Contrato de Deuda como anexo al presente Contrato y llevar un registro actualizado de inversiones, saldos, moras y estatus de la cartera de la contratante.</w:t>
      </w:r>
    </w:p>
    <w:p>
      <w:pPr>
        <w:pStyle w:val="normal1"/>
        <w:keepNext w:val="false"/>
        <w:keepLines w:val="false"/>
        <w:pageBreakBefore w:val="false"/>
        <w:widowControl w:val="false"/>
        <w:numPr>
          <w:ilvl w:val="0"/>
          <w:numId w:val="4"/>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recordatorios mensuales a el Deudor sobre fechas, montos y formas de pago.</w:t>
      </w:r>
    </w:p>
    <w:p>
      <w:pPr>
        <w:pStyle w:val="normal1"/>
        <w:keepNext w:val="false"/>
        <w:keepLines w:val="false"/>
        <w:pageBreakBefore w:val="false"/>
        <w:widowControl w:val="false"/>
        <w:numPr>
          <w:ilvl w:val="0"/>
          <w:numId w:val="4"/>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Atender consultas del Deudor respecto de los pagos pendientes.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40"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 exacto de su gestión de cobro, pudiendo la Contratista realizar acuerdos extrajudiciales de pago en caso de incumplimiento del Deudor, sin necesidad de autorización previa de l</w:t>
      </w:r>
      <w:r>
        <w:rPr>
          <w:sz w:val="20"/>
          <w:szCs w:val="20"/>
        </w:rPr>
        <w: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siempre que los considere razonables y beneficiosos para la recuperación de fondos.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0" w:after="0"/>
        <w:ind w:hanging="360" w:left="720"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Coordinar con el Deudor la emisión y entrega de facturas por intereses, cuando corresponda.</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199" w:after="0"/>
        <w:ind w:hanging="360" w:left="720" w:right="28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modalidad de cartera activa, el Inversionista acepta expresamente la cesión de créditos en el estado en que se encuentren, incluyendo garantías ya constituidas.</w:t>
      </w:r>
    </w:p>
    <w:p>
      <w:pPr>
        <w:pStyle w:val="normal1"/>
        <w:keepNext w:val="false"/>
        <w:keepLines w:val="false"/>
        <w:pageBreakBefore w:val="false"/>
        <w:widowControl w:val="false"/>
        <w:numPr>
          <w:ilvl w:val="1"/>
          <w:numId w:val="5"/>
        </w:numPr>
        <w:shd w:val="clear" w:fill="auto"/>
        <w:tabs>
          <w:tab w:val="clear" w:pos="720"/>
          <w:tab w:val="left" w:pos="777" w:leader="none"/>
        </w:tabs>
        <w:spacing w:lineRule="auto" w:line="240" w:before="202" w:after="0"/>
        <w:ind w:hanging="211" w:left="77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Recepción de pagos</w:t>
      </w:r>
    </w:p>
    <w:p>
      <w:pPr>
        <w:pStyle w:val="normal1"/>
        <w:keepNext w:val="false"/>
        <w:keepLines w:val="false"/>
        <w:pageBreakBefore w:val="false"/>
        <w:widowControl w:val="false"/>
        <w:shd w:val="clear" w:fill="auto"/>
        <w:spacing w:lineRule="auto" w:line="276" w:before="240"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prestará los siguientes servicios de recepción de pagos por cuenta de la contratante:</w:t>
      </w:r>
    </w:p>
    <w:p>
      <w:pPr>
        <w:pStyle w:val="normal1"/>
        <w:keepNext w:val="false"/>
        <w:keepLines w:val="false"/>
        <w:pageBreakBefore w:val="false"/>
        <w:widowControl w:val="false"/>
        <w:numPr>
          <w:ilvl w:val="0"/>
          <w:numId w:val="3"/>
        </w:numPr>
        <w:shd w:val="clear" w:fill="auto"/>
        <w:tabs>
          <w:tab w:val="left" w:pos="720" w:leader="none"/>
        </w:tabs>
        <w:spacing w:lineRule="auto" w:line="240" w:before="200"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pagos de capital e intereses efectuados por el Deudor.</w:t>
      </w:r>
    </w:p>
    <w:p>
      <w:pPr>
        <w:pStyle w:val="normal1"/>
        <w:keepNext w:val="false"/>
        <w:keepLines w:val="false"/>
        <w:pageBreakBefore w:val="false"/>
        <w:widowControl w:val="false"/>
        <w:numPr>
          <w:ilvl w:val="0"/>
          <w:numId w:val="3"/>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recibos de caja con detalle del monto y su aplicación a capital e intereses.</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38"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registros contables separados e independientes para los pagos de la contratante.</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2" w:after="0"/>
        <w:ind w:hanging="360" w:left="720"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en custodia los fondos recibidos durante el período mensual y liquidarlos oportunamente, deduciendo sus honorarios conforme la cláusula segunda.</w:t>
      </w:r>
    </w:p>
    <w:p>
      <w:pPr>
        <w:pStyle w:val="normal1"/>
        <w:keepNext w:val="false"/>
        <w:keepLines w:val="false"/>
        <w:pageBreakBefore w:val="false"/>
        <w:widowControl w:val="false"/>
        <w:numPr>
          <w:ilvl w:val="0"/>
          <w:numId w:val="3"/>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Llevar registro exacto y verificable de los pagos recibidos.</w:t>
      </w:r>
    </w:p>
    <w:p>
      <w:pPr>
        <w:pStyle w:val="normal1"/>
        <w:keepNext w:val="false"/>
        <w:keepLines w:val="false"/>
        <w:pageBreakBefore w:val="false"/>
        <w:widowControl w:val="false"/>
        <w:numPr>
          <w:ilvl w:val="1"/>
          <w:numId w:val="5"/>
        </w:numPr>
        <w:shd w:val="clear" w:fill="auto"/>
        <w:tabs>
          <w:tab w:val="clear" w:pos="720"/>
          <w:tab w:val="left" w:pos="787" w:leader="none"/>
        </w:tabs>
        <w:spacing w:lineRule="auto" w:line="240" w:before="100" w:after="0"/>
        <w:ind w:hanging="221" w:left="78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Liquidaciones mensuales</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41"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realizará liquidaciones mensuales de los pagos recibidos, que remitirá a la contratante a más tardar el día diez del mes siguiente (o día hábil inmediato).</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199"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Dichas liquidaciones detallarán por separado capital, intereses y honorarios de la Contratista.</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0" w:after="0"/>
        <w:ind w:hanging="360" w:left="720"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tendrá cinco (5) días hábiles para presentar consultas u objeciones sobre los honorarios. Transcurrido dicho plazo sin objeción, la liquidación se tendrá por aceptada.</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1"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Una vez aceptada o validada la liquidación, la Contratista procederá a hacerse pago de sus honorarios y a trasladar 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el saldo neto, mediante depósito, transferencia o cheque a la cuenta registrada.</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0"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pago al Inversionista podrá realizarse mediante cesión de créditos activos equivalentes, conforme lo estipulado en el Acuerdo, entendiéndose que el Inversionista acepta los créditos en el estado en que se encuentren.</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1"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Alternativamente, el Inversionista podrá instruir la reinversión de sus utilidades conforme a la carta de instrucciones anexa al Acuerdo.</w:t>
      </w:r>
    </w:p>
    <w:p>
      <w:pPr>
        <w:pStyle w:val="normal1"/>
        <w:keepNext w:val="false"/>
        <w:keepLines w:val="false"/>
        <w:pageBreakBefore w:val="false"/>
        <w:widowControl w:val="false"/>
        <w:numPr>
          <w:ilvl w:val="1"/>
          <w:numId w:val="5"/>
        </w:numPr>
        <w:shd w:val="clear" w:fill="auto"/>
        <w:tabs>
          <w:tab w:val="clear" w:pos="720"/>
          <w:tab w:val="left" w:pos="803" w:leader="none"/>
        </w:tabs>
        <w:spacing w:lineRule="auto" w:line="240" w:before="200" w:after="0"/>
        <w:ind w:hanging="237" w:left="803"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Registros contables</w:t>
      </w:r>
    </w:p>
    <w:p>
      <w:pPr>
        <w:pStyle w:val="normal1"/>
        <w:keepNext w:val="false"/>
        <w:keepLines w:val="false"/>
        <w:pageBreakBefore w:val="false"/>
        <w:widowControl w:val="false"/>
        <w:shd w:val="clear" w:fill="auto"/>
        <w:spacing w:lineRule="auto" w:line="276" w:before="24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llevará un registro completo y preciso de todas las operaciones derivadas del presente Contrato y del Acuerdo. Los registros de la Contratista prevalecerán frente a los de la contratante, siempre que estén respaldados por documentos derivados de transacciones efectivamente realizadas.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OBLIGACIONES DE LAS PARTES.</w:t>
      </w:r>
    </w:p>
    <w:p>
      <w:pPr>
        <w:pStyle w:val="normal1"/>
        <w:keepNext w:val="false"/>
        <w:keepLines w:val="false"/>
        <w:pageBreakBefore w:val="false"/>
        <w:widowControl w:val="false"/>
        <w:numPr>
          <w:ilvl w:val="0"/>
          <w:numId w:val="1"/>
        </w:numPr>
        <w:shd w:val="clear" w:fill="auto"/>
        <w:tabs>
          <w:tab w:val="clear" w:pos="720"/>
          <w:tab w:val="left" w:pos="924" w:leader="none"/>
        </w:tabs>
        <w:spacing w:lineRule="auto" w:line="240" w:before="240" w:after="0"/>
        <w:ind w:hanging="358" w:left="92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fiscales:</w:t>
      </w:r>
    </w:p>
    <w:p>
      <w:pPr>
        <w:pStyle w:val="normal1"/>
        <w:keepNext w:val="false"/>
        <w:keepLines w:val="false"/>
        <w:pageBreakBefore w:val="false"/>
        <w:widowControl w:val="false"/>
        <w:numPr>
          <w:ilvl w:val="1"/>
          <w:numId w:val="1"/>
        </w:numPr>
        <w:shd w:val="clear" w:fill="auto"/>
        <w:tabs>
          <w:tab w:val="clear" w:pos="720"/>
          <w:tab w:val="left" w:pos="1333" w:leader="none"/>
        </w:tabs>
        <w:spacing w:lineRule="auto" w:line="276" w:before="39" w:after="0"/>
        <w:ind w:hanging="0" w:left="92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facturará mensualmente sus servicios derivados del presente Contrato, de conformidad con la legislación aplicable.</w:t>
      </w:r>
    </w:p>
    <w:p>
      <w:pPr>
        <w:pStyle w:val="normal1"/>
        <w:keepNext w:val="false"/>
        <w:keepLines w:val="false"/>
        <w:pageBreakBefore w:val="false"/>
        <w:widowControl w:val="false"/>
        <w:numPr>
          <w:ilvl w:val="1"/>
          <w:numId w:val="1"/>
        </w:numPr>
        <w:shd w:val="clear" w:fill="auto"/>
        <w:tabs>
          <w:tab w:val="clear" w:pos="720"/>
          <w:tab w:val="left" w:pos="1309" w:leader="none"/>
        </w:tabs>
        <w:spacing w:lineRule="auto" w:line="276" w:before="1" w:after="0"/>
        <w:ind w:hanging="0" w:left="92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será responsable de emitir las facturas correspondientes a los intereses devengados y percibidos por el Deudor en virtud de los Contratos de Deuda, entregándolas a la Contratista a requerimiento, para que esta a su vez las remita al Deudor contra el pago de dichos intereses. La Contratista no asume responsabilidad alguna en caso de que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incumpla sus obligaciones fiscales. En tal supuesto, y para efectos de cumplimiento legal, la Contratista podrá emitir la factura por la cuota total recibida y trasladar 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únicamente el monto neto correspondiente, deducidos los impuestos aplicables.</w:t>
      </w:r>
    </w:p>
    <w:p>
      <w:pPr>
        <w:pStyle w:val="normal1"/>
        <w:keepNext w:val="false"/>
        <w:keepLines w:val="false"/>
        <w:pageBreakBefore w:val="false"/>
        <w:widowControl w:val="false"/>
        <w:numPr>
          <w:ilvl w:val="0"/>
          <w:numId w:val="1"/>
        </w:numPr>
        <w:shd w:val="clear" w:fill="auto"/>
        <w:tabs>
          <w:tab w:val="clear" w:pos="720"/>
          <w:tab w:val="left" w:pos="771" w:leader="none"/>
        </w:tabs>
        <w:spacing w:lineRule="auto" w:line="240" w:before="100" w:after="0"/>
        <w:ind w:hanging="205" w:left="771"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respecto a garantías:</w:t>
      </w:r>
    </w:p>
    <w:p>
      <w:pPr>
        <w:pStyle w:val="normal1"/>
        <w:keepNext w:val="false"/>
        <w:keepLines w:val="false"/>
        <w:pageBreakBefore w:val="false"/>
        <w:widowControl w:val="false"/>
        <w:shd w:val="clear" w:fill="auto"/>
        <w:spacing w:lineRule="auto" w:line="276" w:before="241" w:after="0"/>
        <w:ind w:hanging="0" w:left="852"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a través de la entidad Garante, se obliga a prestar servicios de depositario y gestión administrativa sobre los bienes muebles que se otorguen en garantía para el cumplimiento de las obligaciones derivadas de los Contratos de Deuda celebrados en favor de la contratante.</w:t>
      </w:r>
    </w:p>
    <w:p>
      <w:pPr>
        <w:pStyle w:val="normal1"/>
        <w:keepNext w:val="false"/>
        <w:keepLines w:val="false"/>
        <w:pageBreakBefore w:val="false"/>
        <w:widowControl w:val="false"/>
        <w:numPr>
          <w:ilvl w:val="0"/>
          <w:numId w:val="1"/>
        </w:numPr>
        <w:shd w:val="clear" w:fill="auto"/>
        <w:tabs>
          <w:tab w:val="clear" w:pos="720"/>
          <w:tab w:val="left" w:pos="1438" w:leader="none"/>
        </w:tabs>
        <w:spacing w:lineRule="auto" w:line="240" w:before="199" w:after="0"/>
        <w:ind w:hanging="358" w:left="1438"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Alcance de la preservación:</w:t>
      </w:r>
    </w:p>
    <w:p>
      <w:pPr>
        <w:pStyle w:val="normal1"/>
        <w:keepNext w:val="false"/>
        <w:keepLines w:val="false"/>
        <w:pageBreakBefore w:val="false"/>
        <w:widowControl w:val="false"/>
        <w:shd w:val="clear" w:fill="auto"/>
        <w:spacing w:lineRule="auto" w:line="276" w:before="42" w:after="0"/>
        <w:ind w:hanging="0" w:left="1440"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mediante la Garante, velará por la adecuada administración y preservación de los bienes muebles dados en garantía, así como por el seguimiento de los pagos derivados de la administración de las inversiones. No obstante, la Contratista no será responsable por pérdidas, deterioros o daños que resulten del uso normal, negligencia o actos del Deudor, de terceros, o de situaciones de caso fortuito o fuerza mayor.</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QUINTA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PLAZO. El presente Contrato de Prestación de Servicios tendrá una vigencia indefinida, vinculada a la duración de las inversiones realizadas por la contratante conforme al Acuerdo Privado de Inversión. En consecuencia, este Contrato se mantendrá vigente mientras exista al menos una inversión activa de la contratante, y culminará en la fecha efectiva de terminación de la última inversión colocada en su favor.</w:t>
      </w:r>
    </w:p>
    <w:p>
      <w:pPr>
        <w:pStyle w:val="normal1"/>
        <w:keepNext w:val="false"/>
        <w:keepLines w:val="false"/>
        <w:pageBreakBefore w:val="false"/>
        <w:widowControl w:val="false"/>
        <w:shd w:val="clear" w:fill="auto"/>
        <w:spacing w:lineRule="auto" w:line="276" w:before="198"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todos los efectos relacionados con la terminación anticipada o supuestos especiales, las Partes acuerdan que serán aplicables, en lo conducente, las estipulaciones sobre terminación contenidas en el Acuerdo Privado de Inversión, prevaleciendo dichas disposiciones en caso de contradicción o duda interpretativa.</w:t>
      </w:r>
    </w:p>
    <w:p>
      <w:pPr>
        <w:pStyle w:val="normal1"/>
        <w:keepNext w:val="false"/>
        <w:keepLines w:val="false"/>
        <w:pageBreakBefore w:val="false"/>
        <w:widowControl w:val="false"/>
        <w:shd w:val="clear" w:fill="auto"/>
        <w:spacing w:lineRule="auto" w:line="276" w:before="203"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la Contratista conservará el mandato y la facultad de continuar con la administración, gestión de cobro y ejecución de garantías respecto de las obligaciones que permanezcan pendientes de pago o en proceso de recuperación al momento de la terminación, hasta su conclusión definitiva, sin que ello implique una renovación del presente Contrato</w:t>
      </w:r>
    </w:p>
    <w:p>
      <w:pPr>
        <w:pStyle w:val="normal1"/>
        <w:keepNext w:val="false"/>
        <w:keepLines w:val="false"/>
        <w:pageBreakBefore w:val="false"/>
        <w:widowControl w:val="false"/>
        <w:shd w:val="clear" w:fill="auto"/>
        <w:spacing w:lineRule="auto" w:line="276" w:before="198"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 momento de la terminación, la Contratista elaborará y remitirá a la contratante una liquidación final, detallando los saldos de capital, intereses, pagos recibidos, honorarios cobrados y obligaciones en trámite. Dicha liquidación se entenderá como cierre administrativo de la relación contractual, quedando únicamente pendientes de ejecución las acciones de cobro o recuperación que aún se encuentren en curso.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SEXTA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EXCLUSIVIDAD Y NO ELUSIÓN.</w:t>
      </w:r>
    </w:p>
    <w:p>
      <w:pPr>
        <w:pStyle w:val="normal1"/>
        <w:keepNext w:val="false"/>
        <w:keepLines w:val="false"/>
        <w:pageBreakBefore w:val="false"/>
        <w:widowControl w:val="false"/>
        <w:shd w:val="clear" w:fill="auto"/>
        <w:spacing w:lineRule="auto" w:line="276" w:before="241"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convienen que el presente Contrato otorga a la Contratista el carácter de administrador exclusivo de las inversiones de la contratante derivadas del Acuerdo Privado de Inversión. En consecuencia, la contratante no podrá, durante la vigencia del presente Contrato, contratar con terceros los servicios objeto del mismo ni realizar por sí misma, directa o indirectamente, las actividades de gestión de cobro, recepción de pagos o administración de garantías correspondientes a sus inversiones.</w:t>
      </w:r>
    </w:p>
    <w:p>
      <w:pPr>
        <w:pStyle w:val="normal1"/>
        <w:keepNext w:val="false"/>
        <w:keepLines w:val="false"/>
        <w:pageBreakBefore w:val="false"/>
        <w:widowControl w:val="false"/>
        <w:shd w:val="clear" w:fill="auto"/>
        <w:spacing w:lineRule="auto" w:line="276" w:before="201"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su parte, la Contratista mantiene plena libertad para prestar sus servicios a otros inversionistas, deudores o terceros sin limitación alguna.</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 obliga, durante todo el plazo de este Contrato, a no eludir ni obviar el pago de los honorarios de la Contratista establecidos en la cláusula segunda. Cualquier pago que el Deudor realicen directamente a la contratante se considerará, para efectos de cálculo de honorarios, como si hubiera sido recibido por la Contratista, y dará derecho a esta última a retener y cobrar los honorarios pactados, aun cuando no hubiera intervenido directamente en la gestión de cobro.</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incumplimiento de la presente cláusula, la contratante se obliga a pagar a la Contratista, en concepto de penalidad, una suma equivalente a los intereses proyectados pendientes que la inversión debía reconocer a favor de la Contratista durante el plazo restante de la misma, sin perjuicio de los honorarios ya devengados y de las demás acciones legales que pudieran corresponder.</w:t>
      </w:r>
    </w:p>
    <w:p>
      <w:pPr>
        <w:pStyle w:val="normal1"/>
        <w:keepNext w:val="false"/>
        <w:keepLines w:val="false"/>
        <w:pageBreakBefore w:val="false"/>
        <w:widowControl w:val="false"/>
        <w:shd w:val="clear" w:fill="auto"/>
        <w:spacing w:lineRule="auto" w:line="276" w:before="20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SÉPTIMA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CESIÓN DE DERECHOS. Las partes podrán ceder, enajenar o gravar, en todo o en parte, los derechos y obligaciones derivados del presente Contrato, para lo cual se requerirá la aceptación por escrito de la otra parte. En caso de cesión de los derechos contractuales, el cesionario no podrá variar o modificar el presente Contrato, salvo que lo acuerde por escrito con la contratante.</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la contratante podrá ceder sus inversiones particulares según desee, para el efecto se estará a lo dispuesto en el Acuerdo de Inversión. Cualquier cesión que se realice por las inversiones de la contratista, se hará bajo el entendido de que el contrato aquí contenido, también será cedido.</w:t>
      </w:r>
    </w:p>
    <w:p>
      <w:pPr>
        <w:pStyle w:val="normal1"/>
        <w:keepNext w:val="false"/>
        <w:keepLines w:val="false"/>
        <w:pageBreakBefore w:val="false"/>
        <w:widowControl w:val="false"/>
        <w:shd w:val="clear" w:fill="auto"/>
        <w:spacing w:lineRule="auto" w:line="276" w:before="199"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OCTAVA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TERMINACIÓN. El presente Contrato de Prestación de Servicios se regirá, en lo relativo a su terminación, por las disposiciones establecidas en el Acuerdo Privado de Inversión, del cual forma parte complementaria. En consecuencia, la terminación del Acuerdo implicará automáticamente la terminación del presente Contrato, y viceversa, sin necesidad de notificación adicional.</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Si la terminación se produce porque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decide administrar directamente su cartera de inversiones o encomendarla a un tercero distinto de la Contratista, dicha terminación se considerará como terminación unilateral sin causa por parte de la contratante, y dará lugar a la aplicación de la penalidad prevista en el Acuerdo de Inversión, equivalente a los intereses proyectados pendientes que la inversión debía reconocer en favor de la Contratista. La Contratista tendrá derecho a exigir el pago de dicha penalidad, además de los honorarios adeudados a la fecha de terminación.</w:t>
      </w:r>
    </w:p>
    <w:p>
      <w:pPr>
        <w:pStyle w:val="normal1"/>
        <w:keepNext w:val="false"/>
        <w:keepLines w:val="false"/>
        <w:pageBreakBefore w:val="false"/>
        <w:widowControl w:val="false"/>
        <w:shd w:val="clear" w:fill="auto"/>
        <w:spacing w:lineRule="auto" w:line="276" w:before="2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lo anterior, en caso de terminación, la Contratista elaborará la liquidación final de los servicios prestados hasta la fecha de conclusión efectiva y conservará la facultad de continuar con la gestión de cobros o ejecución de garantías que se encuentren en trámite, hasta su total conclusión, sin que ello implique prórroga o renovación del Contrato.</w:t>
      </w:r>
    </w:p>
    <w:p>
      <w:pPr>
        <w:pStyle w:val="normal1"/>
        <w:keepNext w:val="false"/>
        <w:keepLines w:val="false"/>
        <w:pageBreakBefore w:val="false"/>
        <w:widowControl w:val="false"/>
        <w:shd w:val="clear" w:fill="auto"/>
        <w:spacing w:lineRule="auto" w:line="276" w:before="201"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estipulaciones que, por su naturaleza, deban subsistir después de la terminación, permanecerán vigentes, incluyendo, pero no limitándose a: obligaciones fiscales, exclusividad y no elusión, confidencialidad, responsabilidades pendientes, penalidades y solución de controversias.</w:t>
      </w:r>
    </w:p>
    <w:p>
      <w:pPr>
        <w:pStyle w:val="normal1"/>
        <w:keepNext w:val="false"/>
        <w:keepLines w:val="false"/>
        <w:pageBreakBefore w:val="false"/>
        <w:widowControl w:val="false"/>
        <w:shd w:val="clear" w:fill="auto"/>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NOVENA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GARANTÍA: En las inversiones realizadas bajo el presente Contrato que correspondan a la modalidad de financiamiento para la adquisición de vehículos, las Partes acuerdan que, con la firma de cada Contrato de Deuda, Cube Investments, Sociedad Anónima instruirá irrevocablemente a la entidad RDBE, Sociedad Anónima (la “Garante”) para que constituya a favor de la contratante la garantía mobiliaria sobre los vehículos adquiridos con los fondos aportados por la contratante, conforme a la legislación aplicable, salvo que acuerde que dicha garantía se constituya a favor de Cube Investments, Sociedad Anónima a solicitud expresa del inversionista.</w:t>
      </w:r>
    </w:p>
    <w:p>
      <w:pPr>
        <w:pStyle w:val="normal1"/>
        <w:keepNext w:val="false"/>
        <w:keepLines w:val="false"/>
        <w:pageBreakBefore w:val="false"/>
        <w:widowControl w:val="false"/>
        <w:shd w:val="clear" w:fill="auto"/>
        <w:spacing w:lineRule="auto" w:line="276" w:before="2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constitución e inscripción de dichas garantías mobiliarias se formalizará en los respectivos contratos de garantía mobiliaria, los cuales contendrán las estipulaciones específicas que regirán la garantía constituida.</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En el caso de inversiones realizadas mediante la modalidad de cesión de créditos en cartera activa,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acepta expresamente recibir los créditos en el estado en que se encuentren, incluyendo las garantías ya constituidas, pudiendo, en su caso, constituirse a su favor en segundo rango.</w:t>
      </w:r>
    </w:p>
    <w:p>
      <w:pPr>
        <w:pStyle w:val="normal1"/>
        <w:keepNext w:val="false"/>
        <w:keepLines w:val="false"/>
        <w:pageBreakBefore w:val="false"/>
        <w:widowControl w:val="false"/>
        <w:shd w:val="clear" w:fill="auto"/>
        <w:spacing w:lineRule="auto" w:line="276" w:before="19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Cube Investments, S.A. no asume la calidad de garante ni se obliga a constituir directamente garantías mobiliarias, limitándose a instruir a la Garante para que lo haga conforme a lo establecido en el presente Contrato.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LIMITACIÓN DE RESPONSABILIDADES E INDEMNIDAD. Salvo lo expresamente</w:t>
      </w:r>
    </w:p>
    <w:p>
      <w:pPr>
        <w:pStyle w:val="normal1"/>
        <w:keepNext w:val="false"/>
        <w:keepLines w:val="false"/>
        <w:pageBreakBefore w:val="false"/>
        <w:widowControl w:val="false"/>
        <w:shd w:val="clear" w:fill="auto"/>
        <w:spacing w:lineRule="auto" w:line="276" w:before="3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establecido en el Acuerdo Privado de Inversión, la Contratista no tendrá responsabilidad alguna por daños indirectos o consecuenciales, incluyendo, sin limitación, lucro cesante, incobrabilidad de intereses, pérdida de garantías, sentencias condenatorias o cualquier otro costo o gasto en que incurra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en relación con el presente Contrato.</w:t>
      </w:r>
    </w:p>
    <w:p>
      <w:pPr>
        <w:pStyle w:val="normal1"/>
        <w:keepNext w:val="false"/>
        <w:keepLines w:val="false"/>
        <w:pageBreakBefore w:val="false"/>
        <w:widowControl w:val="false"/>
        <w:shd w:val="clear" w:fill="auto"/>
        <w:spacing w:lineRule="auto" w:line="276" w:before="1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Inversionista reconoce y acepta que toda inversión conlleva riesgos inherentes, tales como incumplimiento o mora del Deudor, fluctuaciones de mercado, pérdida parcial o total del capital, o inejecución de garantías, por lo que mantendrá indemnes y libres de toda responsabilidad a Cube Investments, S.A., RDBE, S.A., sus representantes, personeros, filiales, subsidiarias y empresas relacionadas, frente a cualquier acción, reclamo, procedimiento, daño, costo o gasto (incluyendo honorarios legales y costas judiciales) que se derive directa o indirectamente de dichos riesgos.</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ningún caso Cube Investments, S.A. ni RDBE, S.A. asumirán responsabilidad por pérdidas derivadas de la mora, incumplimiento o insolvencia del Deudor, ni por eventos de caso fortuito o fuerza mayor, entendidos estos como aquellos sucesos imprevisibles o inevitables fuera del control razonable de la Contratista, tales como crisis financieras, cambios regulatorios, reformas legales, catástrofes naturales, conflictos sociales, pandemias u otros de naturaleza semejante.</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responsabilidad de Cube Investments, S.A. quedará limitada exclusivamente a casos de dolo o negligencia grave debidamente comprobada en la administración de las inversiones.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CONFIDENCIALIDAD Y USO RESTRINGIDO DE INFORMACIÓN: Las</w:t>
      </w:r>
    </w:p>
    <w:p>
      <w:pPr>
        <w:pStyle w:val="normal1"/>
        <w:keepNext w:val="false"/>
        <w:keepLines w:val="false"/>
        <w:pageBreakBefore w:val="false"/>
        <w:widowControl w:val="false"/>
        <w:shd w:val="clear" w:fill="auto"/>
        <w:spacing w:lineRule="auto" w:line="276" w:before="39"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Partes acuerdan que toda información a la que tengan acceso en virtud del presente Contrato, del Acuerdo Privado de Inversión, de los Contratos de Deuda o de cualquier otro documento relacionado con las inversiones, será considerada estrictamente confidencial.</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particular, se considerará información confidencial, sin limitación:</w:t>
      </w:r>
    </w:p>
    <w:p>
      <w:pPr>
        <w:pStyle w:val="normal1"/>
        <w:keepNext w:val="false"/>
        <w:keepLines w:val="false"/>
        <w:pageBreakBefore w:val="false"/>
        <w:widowControl w:val="false"/>
        <w:numPr>
          <w:ilvl w:val="0"/>
          <w:numId w:val="6"/>
        </w:numPr>
        <w:shd w:val="clear" w:fill="auto"/>
        <w:tabs>
          <w:tab w:val="left" w:pos="720" w:leader="none"/>
        </w:tabs>
        <w:spacing w:lineRule="auto" w:line="240" w:before="240"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datos financieros, comerciales y personales de los inversionistas y del Deudor.</w:t>
      </w:r>
    </w:p>
    <w:p>
      <w:pPr>
        <w:pStyle w:val="normal1"/>
        <w:keepNext w:val="false"/>
        <w:keepLines w:val="false"/>
        <w:pageBreakBefore w:val="false"/>
        <w:widowControl w:val="false"/>
        <w:numPr>
          <w:ilvl w:val="0"/>
          <w:numId w:val="6"/>
        </w:numPr>
        <w:shd w:val="clear" w:fill="auto"/>
        <w:tabs>
          <w:tab w:val="left" w:pos="720" w:leader="none"/>
        </w:tabs>
        <w:spacing w:lineRule="auto" w:line="240" w:before="241"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términos y condiciones de las inversiones y contratos de deuda.</w:t>
      </w:r>
    </w:p>
    <w:p>
      <w:pPr>
        <w:pStyle w:val="normal1"/>
        <w:keepNext w:val="false"/>
        <w:keepLines w:val="false"/>
        <w:pageBreakBefore w:val="false"/>
        <w:widowControl w:val="false"/>
        <w:numPr>
          <w:ilvl w:val="0"/>
          <w:numId w:val="6"/>
        </w:numPr>
        <w:shd w:val="clear" w:fill="auto"/>
        <w:tabs>
          <w:tab w:val="left" w:pos="720" w:leader="none"/>
        </w:tabs>
        <w:spacing w:lineRule="auto" w:line="240" w:before="240"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estados de cuenta, registros, reportes de pagos y gestiones de cobro.</w:t>
      </w:r>
    </w:p>
    <w:p>
      <w:pPr>
        <w:pStyle w:val="normal1"/>
        <w:keepNext w:val="false"/>
        <w:keepLines w:val="false"/>
        <w:pageBreakBefore w:val="false"/>
        <w:widowControl w:val="false"/>
        <w:numPr>
          <w:ilvl w:val="0"/>
          <w:numId w:val="6"/>
        </w:numPr>
        <w:shd w:val="clear" w:fill="auto"/>
        <w:tabs>
          <w:tab w:val="left" w:pos="720" w:leader="none"/>
        </w:tabs>
        <w:spacing w:lineRule="auto" w:line="240" w:before="238"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metodologías, procesos, know-how y estrategias utilizadas por Cube Investments,</w:t>
      </w:r>
    </w:p>
    <w:p>
      <w:pPr>
        <w:pStyle w:val="normal1"/>
        <w:keepNext w:val="false"/>
        <w:keepLines w:val="false"/>
        <w:pageBreakBefore w:val="false"/>
        <w:widowControl w:val="false"/>
        <w:numPr>
          <w:ilvl w:val="0"/>
          <w:numId w:val="0"/>
        </w:numPr>
        <w:shd w:val="clear" w:fill="auto"/>
        <w:spacing w:lineRule="auto" w:line="240" w:before="41" w:after="0"/>
        <w:ind w:hanging="0" w:left="72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S.A. y RDBE, S.A.</w:t>
      </w:r>
    </w:p>
    <w:p>
      <w:pPr>
        <w:pStyle w:val="normal1"/>
        <w:keepNext w:val="false"/>
        <w:keepLines w:val="false"/>
        <w:pageBreakBefore w:val="false"/>
        <w:widowControl w:val="false"/>
        <w:shd w:val="clear" w:fill="auto"/>
        <w:spacing w:lineRule="auto" w:line="276" w:before="24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 obliga a no divulgar ni compartir dicha información con terceros, salvo autorización expresa y por escrito de Cube Investments, S.A., o cuando la divulgación sea requerida por ley, autoridad competente o resolución judicial.</w:t>
      </w:r>
    </w:p>
    <w:p>
      <w:pPr>
        <w:pStyle w:val="normal1"/>
        <w:keepNext w:val="false"/>
        <w:keepLines w:val="false"/>
        <w:pageBreakBefore w:val="false"/>
        <w:widowControl w:val="false"/>
        <w:shd w:val="clear" w:fill="auto"/>
        <w:spacing w:lineRule="auto" w:line="276" w:before="199"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Asimismo,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 obliga a no utilizar la información confidencial para fines distintos a los contemplados en este Contrato y en el Acuerdo de Inversión, ni para desarrollar, directa o indirectamente, actividades o negocios que compitan con los de Cube Investments, S.A. o RDBE, S.A.</w:t>
      </w:r>
    </w:p>
    <w:p>
      <w:pPr>
        <w:pStyle w:val="normal1"/>
        <w:keepNext w:val="false"/>
        <w:keepLines w:val="false"/>
        <w:pageBreakBefore w:val="false"/>
        <w:widowControl w:val="false"/>
        <w:shd w:val="clear" w:fill="auto"/>
        <w:spacing w:lineRule="auto" w:line="276" w:before="1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obligación de confidencialidad y de no uso competitivo subsistirá de manera indefinida, incluso después de la terminación del presente Contrato.</w:t>
      </w:r>
    </w:p>
    <w:p>
      <w:pPr>
        <w:pStyle w:val="normal1"/>
        <w:keepNext w:val="false"/>
        <w:keepLines w:val="false"/>
        <w:pageBreakBefore w:val="false"/>
        <w:widowControl w:val="false"/>
        <w:shd w:val="clear" w:fill="auto"/>
        <w:spacing w:lineRule="auto" w:line="276" w:before="20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incumplimiento de lo dispuesto en la presente cláusula facultará a la Contratista a reclamar los daños y perjuicios ocasionados, así como a ejercer las acciones legales que correspondan.</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RESOLUCIÓN DE CONFLICTOS: Cualquier controversia, disputa, conflicto o reclamación que surja entre los firmantes del presente Contrato entre las partes, con relación a la aplicación, interpretación, ejecución, terminación y/o cumplimiento de este Contrato, ya sea durante su vigencia como luego de su terminación, deberá ser resuelta mediante negociación directa entre las partes dentro de los treinta</w:t>
      </w:r>
    </w:p>
    <w:p>
      <w:pPr>
        <w:pStyle w:val="normal1"/>
        <w:keepNext w:val="false"/>
        <w:keepLines w:val="false"/>
        <w:pageBreakBefore w:val="false"/>
        <w:widowControl w:val="false"/>
        <w:shd w:val="clear" w:fill="auto"/>
        <w:spacing w:lineRule="auto" w:line="276" w:before="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(30) días calendario a partir de que la parte afectada comunique a la otra parte su reclamo. Las partes de común acuerdo podrán nombrar un mediador para resolver la disputa dentro del período de negociación. En caso no se llegue a un acuerdo en la negociación dentro de los treinta (30) días calendario a partir de que la parte afectada comunique a la otra parte su reclamo, las partes se obligan a someter la controversia, disputa, conflicto o reclamación a la jurisdicción de los Tribunales de Justicia Ordinarios de la República de Guatemala.</w:t>
      </w:r>
    </w:p>
    <w:p>
      <w:pPr>
        <w:pStyle w:val="normal1"/>
        <w:keepNext w:val="false"/>
        <w:keepLines w:val="false"/>
        <w:pageBreakBefore w:val="false"/>
        <w:widowControl w:val="false"/>
        <w:shd w:val="clear" w:fill="auto"/>
        <w:spacing w:lineRule="auto" w:line="276" w:before="20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LEY APLICABLE. El presente contrato se interpretará y regirá según las leyes vigentes de la República de Guatemala.</w:t>
      </w:r>
    </w:p>
    <w:p>
      <w:pPr>
        <w:pStyle w:val="normal1"/>
        <w:keepNext w:val="false"/>
        <w:keepLines w:val="false"/>
        <w:pageBreakBefore w:val="false"/>
        <w:widowControl w:val="false"/>
        <w:shd w:val="clear" w:fill="auto"/>
        <w:tabs>
          <w:tab w:val="clear" w:pos="720"/>
          <w:tab w:val="left" w:pos="5734" w:leader="none"/>
        </w:tabs>
        <w:spacing w:lineRule="auto" w:line="276" w:before="200"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ACEPTACIÓN Y CONFORMIDAD. Los otorgantes en las calidades en que actuamos, expresamente aceptamos el presente contrato y aceptamos: I) todo lo relacionado; II) que se tuvo a la vista la documentación de identificación citada; y III) que habiendo leído por nosotros mismos, íntegramente este contrato, y bien impuestos de su contenido, objeto, validez y efectos legales, así como de los demás documentos a los que se hace referencia en el mismo, lo aceptamos, ratificamos y firmamos en las calidades con las que actuamos, en la ciudad de Guatemala, el {fechaInicioContrato}</w:t>
      </w:r>
    </w:p>
    <w:p>
      <w:pPr>
        <w:pStyle w:val="normal1"/>
        <w:keepNext w:val="false"/>
        <w:keepLines w:val="false"/>
        <w:pageBreakBefore w:val="false"/>
        <w:widowControl w:val="false"/>
        <w:shd w:val="clear" w:fill="auto"/>
        <w:spacing w:lineRule="auto" w:line="240"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806" w:leader="none"/>
          <w:tab w:val="left" w:pos="4860" w:leader="none"/>
          <w:tab w:val="left" w:pos="8098" w:leader="none"/>
        </w:tabs>
        <w:spacing w:lineRule="auto" w:line="240" w:before="0" w:after="0"/>
        <w:ind w:hanging="0" w:left="566" w:right="538"/>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b/>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POR CUBE INVESTMENTS, S.A.</w:t>
        <w:tab/>
        <w:tab/>
        <w:t xml:space="preserve"> POR RDBE, S.A.</w:t>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566" w:right="0"/>
        <w:jc w:val="both"/>
        <w:rPr>
          <w:u w:val="no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f) </w:t>
      </w:r>
      <w:r>
        <w:rPr>
          <w:rFonts w:eastAsia="Quattrocento Sans" w:cs="Quattrocento Sans" w:ascii="Droid Sans Fallback" w:hAnsi="Droid Sans Fallback"/>
          <w:b w:val="false"/>
          <w:bCs w:val="false"/>
          <w:i w:val="false"/>
          <w:iCs w:val="false"/>
          <w:caps w:val="false"/>
          <w:smallCaps w:val="false"/>
          <w:strike w:val="false"/>
          <w:dstrike w:val="false"/>
          <w:color w:val="000000"/>
          <w:position w:val="0"/>
          <w:sz w:val="20"/>
          <w:szCs w:val="20"/>
          <w:u w:val="none"/>
          <w:shd w:fill="auto" w:val="clear"/>
          <w:vertAlign w:val="baseline"/>
        </w:rPr>
        <w:t>__________________________________</w:t>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0" w:right="0"/>
        <w:jc w:val="both"/>
        <w:rPr/>
      </w:pPr>
      <w:r>
        <w:rPr/>
        <w:t xml:space="preserve">           </w:t>
      </w:r>
      <w:r>
        <w:rPr/>
        <w:t>{nombreCompleto}</w:t>
      </w:r>
    </w:p>
    <w:p>
      <w:pPr>
        <w:pStyle w:val="normal1"/>
        <w:keepNext w:val="false"/>
        <w:keepLines w:val="false"/>
        <w:pageBreakBefore w:val="false"/>
        <w:widowControl w:val="false"/>
        <w:shd w:val="clear" w:fill="auto"/>
        <w:spacing w:lineRule="auto" w:line="240" w:before="0" w:after="0"/>
        <w:ind w:hanging="0" w:left="29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sectPr>
      <w:headerReference w:type="even" r:id="rId2"/>
      <w:headerReference w:type="default" r:id="rId3"/>
      <w:headerReference w:type="first" r:id="rId4"/>
      <w:type w:val="nextPage"/>
      <w:pgSz w:w="12240" w:h="15840"/>
      <w:pgMar w:left="1800" w:right="1800" w:gutter="0" w:header="821" w:top="1880" w:footer="0" w:bottom="99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roman"/>
    <w:pitch w:val="variable"/>
  </w:font>
  <w:font w:name="Liberation Sans">
    <w:altName w:val="Arial"/>
    <w:charset w:val="01"/>
    <w:family w:val="swiss"/>
    <w:pitch w:val="variable"/>
  </w:font>
  <w:font w:name="Georgia">
    <w:charset w:val="01"/>
    <w:family w:val="roman"/>
    <w:pitch w:val="variable"/>
    <w:embedItalic r:id="rId5" w:fontKey="{05014A78-CABC-4EF0-12AC-5CD89AEFDE05}"/>
  </w:font>
  <w:font w:name="Droid Sans Fallback">
    <w:charset w:val="01"/>
    <w:family w:val="swiss"/>
    <w:pitch w:val="variable"/>
    <w:embedRegular r:id="rId6" w:fontKey="{06014A78-CABC-4EF0-12AC-5CD89AEFDE06}"/>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7"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7"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1">
      <w:start w:val="1"/>
      <w:numFmt w:val="decimal"/>
      <w:lvlText w:val="%1.%2."/>
      <w:lvlJc w:val="left"/>
      <w:pPr>
        <w:tabs>
          <w:tab w:val="num" w:pos="0"/>
        </w:tabs>
        <w:ind w:left="926" w:hanging="41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2464" w:hanging="410"/>
      </w:pPr>
      <w:rPr>
        <w:rFonts w:ascii="Symbol" w:hAnsi="Symbol" w:cs="Symbol" w:hint="default"/>
      </w:rPr>
    </w:lvl>
    <w:lvl w:ilvl="3">
      <w:start w:val="0"/>
      <w:numFmt w:val="bullet"/>
      <w:lvlText w:val=""/>
      <w:lvlJc w:val="left"/>
      <w:pPr>
        <w:tabs>
          <w:tab w:val="num" w:pos="0"/>
        </w:tabs>
        <w:ind w:left="3236" w:hanging="410"/>
      </w:pPr>
      <w:rPr>
        <w:rFonts w:ascii="Symbol" w:hAnsi="Symbol" w:cs="Symbol" w:hint="default"/>
      </w:rPr>
    </w:lvl>
    <w:lvl w:ilvl="4">
      <w:start w:val="0"/>
      <w:numFmt w:val="bullet"/>
      <w:lvlText w:val=""/>
      <w:lvlJc w:val="left"/>
      <w:pPr>
        <w:tabs>
          <w:tab w:val="num" w:pos="0"/>
        </w:tabs>
        <w:ind w:left="4008" w:hanging="410"/>
      </w:pPr>
      <w:rPr>
        <w:rFonts w:ascii="Symbol" w:hAnsi="Symbol" w:cs="Symbol" w:hint="default"/>
      </w:rPr>
    </w:lvl>
    <w:lvl w:ilvl="5">
      <w:start w:val="0"/>
      <w:numFmt w:val="bullet"/>
      <w:lvlText w:val=""/>
      <w:lvlJc w:val="left"/>
      <w:pPr>
        <w:tabs>
          <w:tab w:val="num" w:pos="0"/>
        </w:tabs>
        <w:ind w:left="4780" w:hanging="410"/>
      </w:pPr>
      <w:rPr>
        <w:rFonts w:ascii="Symbol" w:hAnsi="Symbol" w:cs="Symbol" w:hint="default"/>
      </w:rPr>
    </w:lvl>
    <w:lvl w:ilvl="6">
      <w:start w:val="0"/>
      <w:numFmt w:val="bullet"/>
      <w:lvlText w:val=""/>
      <w:lvlJc w:val="left"/>
      <w:pPr>
        <w:tabs>
          <w:tab w:val="num" w:pos="0"/>
        </w:tabs>
        <w:ind w:left="5552" w:hanging="410"/>
      </w:pPr>
      <w:rPr>
        <w:rFonts w:ascii="Symbol" w:hAnsi="Symbol" w:cs="Symbol" w:hint="default"/>
      </w:rPr>
    </w:lvl>
    <w:lvl w:ilvl="7">
      <w:start w:val="0"/>
      <w:numFmt w:val="bullet"/>
      <w:lvlText w:val=""/>
      <w:lvlJc w:val="left"/>
      <w:pPr>
        <w:tabs>
          <w:tab w:val="num" w:pos="0"/>
        </w:tabs>
        <w:ind w:left="6324" w:hanging="410"/>
      </w:pPr>
      <w:rPr>
        <w:rFonts w:ascii="Symbol" w:hAnsi="Symbol" w:cs="Symbol" w:hint="default"/>
      </w:rPr>
    </w:lvl>
    <w:lvl w:ilvl="8">
      <w:start w:val="0"/>
      <w:numFmt w:val="bullet"/>
      <w:lvlText w:val=""/>
      <w:lvlJc w:val="left"/>
      <w:pPr>
        <w:tabs>
          <w:tab w:val="num" w:pos="0"/>
        </w:tabs>
        <w:ind w:left="7096" w:hanging="410"/>
      </w:pPr>
      <w:rPr>
        <w:rFonts w:ascii="Symbol" w:hAnsi="Symbol" w:cs="Symbol" w:hint="default"/>
      </w:rPr>
    </w:lvl>
  </w:abstractNum>
  <w:abstractNum w:abstractNumId="2">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3">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4">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5">
    <w:lvl w:ilvl="0">
      <w:start w:val="1"/>
      <w:numFmt w:val="lowerLetter"/>
      <w:lvlText w:val="%1)"/>
      <w:lvlJc w:val="left"/>
      <w:pPr>
        <w:tabs>
          <w:tab w:val="num" w:pos="0"/>
        </w:tabs>
        <w:ind w:left="566" w:hanging="248"/>
      </w:pPr>
      <w:rPr>
        <w:rFonts w:ascii="Quattrocento Sans" w:hAnsi="Quattrocento Sans" w:eastAsia="Quattrocento Sans" w:cs="Quattrocento Sans"/>
        <w:b w:val="false"/>
        <w:bCs w:val="false"/>
        <w:i w:val="false"/>
        <w:iCs w:val="false"/>
        <w:sz w:val="20"/>
        <w:szCs w:val="20"/>
      </w:rPr>
    </w:lvl>
    <w:lvl w:ilvl="1">
      <w:start w:val="1"/>
      <w:numFmt w:val="upperLetter"/>
      <w:lvlText w:val="%2."/>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1777" w:hanging="360"/>
      </w:pPr>
      <w:rPr>
        <w:rFonts w:ascii="Symbol" w:hAnsi="Symbol" w:cs="Symbol" w:hint="default"/>
      </w:rPr>
    </w:lvl>
    <w:lvl w:ilvl="3">
      <w:start w:val="0"/>
      <w:numFmt w:val="bullet"/>
      <w:lvlText w:val=""/>
      <w:lvlJc w:val="left"/>
      <w:pPr>
        <w:tabs>
          <w:tab w:val="num" w:pos="0"/>
        </w:tabs>
        <w:ind w:left="2635" w:hanging="360"/>
      </w:pPr>
      <w:rPr>
        <w:rFonts w:ascii="Symbol" w:hAnsi="Symbol" w:cs="Symbol" w:hint="default"/>
      </w:rPr>
    </w:lvl>
    <w:lvl w:ilvl="4">
      <w:start w:val="0"/>
      <w:numFmt w:val="bullet"/>
      <w:lvlText w:val=""/>
      <w:lvlJc w:val="left"/>
      <w:pPr>
        <w:tabs>
          <w:tab w:val="num" w:pos="0"/>
        </w:tabs>
        <w:ind w:left="3493" w:hanging="360"/>
      </w:pPr>
      <w:rPr>
        <w:rFonts w:ascii="Symbol" w:hAnsi="Symbol" w:cs="Symbol" w:hint="default"/>
      </w:rPr>
    </w:lvl>
    <w:lvl w:ilvl="5">
      <w:start w:val="0"/>
      <w:numFmt w:val="bullet"/>
      <w:lvlText w:val=""/>
      <w:lvlJc w:val="left"/>
      <w:pPr>
        <w:tabs>
          <w:tab w:val="num" w:pos="0"/>
        </w:tabs>
        <w:ind w:left="4351" w:hanging="360"/>
      </w:pPr>
      <w:rPr>
        <w:rFonts w:ascii="Symbol" w:hAnsi="Symbol" w:cs="Symbol" w:hint="default"/>
      </w:rPr>
    </w:lvl>
    <w:lvl w:ilvl="6">
      <w:start w:val="0"/>
      <w:numFmt w:val="bullet"/>
      <w:lvlText w:val=""/>
      <w:lvlJc w:val="left"/>
      <w:pPr>
        <w:tabs>
          <w:tab w:val="num" w:pos="0"/>
        </w:tabs>
        <w:ind w:left="5208" w:hanging="360"/>
      </w:pPr>
      <w:rPr>
        <w:rFonts w:ascii="Symbol" w:hAnsi="Symbol" w:cs="Symbol" w:hint="default"/>
      </w:rPr>
    </w:lvl>
    <w:lvl w:ilvl="7">
      <w:start w:val="0"/>
      <w:numFmt w:val="bullet"/>
      <w:lvlText w:val=""/>
      <w:lvlJc w:val="left"/>
      <w:pPr>
        <w:tabs>
          <w:tab w:val="num" w:pos="0"/>
        </w:tabs>
        <w:ind w:left="6066" w:hanging="360"/>
      </w:pPr>
      <w:rPr>
        <w:rFonts w:ascii="Symbol" w:hAnsi="Symbol" w:cs="Symbol" w:hint="default"/>
      </w:rPr>
    </w:lvl>
    <w:lvl w:ilvl="8">
      <w:start w:val="0"/>
      <w:numFmt w:val="bullet"/>
      <w:lvlText w:val=""/>
      <w:lvlJc w:val="left"/>
      <w:pPr>
        <w:tabs>
          <w:tab w:val="num" w:pos="0"/>
        </w:tabs>
        <w:ind w:left="6924"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DozfspVMwHAuyik6c7l1j5mdPw==">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LibreOffice/26.2.3.2$Linux_X86_64 LibreOffice_project/620$Build-2</Application>
  <AppVersion>15.0000</AppVersion>
  <Pages>9</Pages>
  <Words>3868</Words>
  <Characters>22278</Characters>
  <CharactersWithSpaces>26025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2026-06-09T11:20:15Z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2025-09-15T00:00:00Z</vt:lpwstr>
  </property>
  <property fmtid="{D5CDD505-2E9C-101B-9397-08002B2CF9AE}" pid="3" name="Creator">
    <vt:lpwstr>Microsoft® Word para Microsoft 365</vt:lpwstr>
  </property>
  <property fmtid="{D5CDD505-2E9C-101B-9397-08002B2CF9AE}" pid="4" name="LastSaved">
    <vt:lpwstr>2025-09-30T00:00:00Z</vt:lpwstr>
  </property>
  <property fmtid="{D5CDD505-2E9C-101B-9397-08002B2CF9AE}" pid="5" name="Producer">
    <vt:lpwstr>Microsoft® Word para Microsoft 365</vt:lpwstr>
  </property>
</Properties>
</file>