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tl w:val="0"/>
        </w:rPr>
      </w:r>
    </w:p>
    <w:p w:rsidR="00000000" w:rsidDel="00000000" w:rsidP="00000000" w:rsidRDefault="00000000" w:rsidRPr="00000000" w14:paraId="00000002">
      <w:pPr>
        <w:spacing w:line="360" w:lineRule="auto"/>
        <w:jc w:val="center"/>
        <w:rPr>
          <w:sz w:val="24"/>
          <w:szCs w:val="24"/>
        </w:rPr>
      </w:pPr>
      <w:r w:rsidDel="00000000" w:rsidR="00000000" w:rsidRPr="00000000">
        <w:rPr>
          <w:b w:val="1"/>
          <w:bCs w:val="1"/>
          <w:sz w:val="24"/>
          <w:szCs w:val="24"/>
          <w:rtl w:val="0"/>
        </w:rPr>
        <w:t xml:space="preserve">CONTRATO DE PARTICIPACIÓN </w:t>
      </w: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b w:val="1"/>
          <w:bCs w:val="1"/>
          <w:color w:val="5b4fcf"/>
          <w:sz w:val="24"/>
          <w:szCs w:val="24"/>
          <w:rtl w:val="0"/>
        </w:rPr>
        <w:t xml:space="preserve">Y ADMINISTRACIÓN DE CARTERA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-44901</wp:posOffset>
                </wp:positionH>
                <wp:positionV relativeFrom="paragraph">
                  <wp:posOffset>209731</wp:posOffset>
                </wp:positionV>
                <wp:extent cx="6281602" cy="102870"/>
                <wp:effectExtent b="0" l="0" r="0" t="0"/>
                <wp:wrapNone/>
                <wp:docPr id="5" name=""/>
                <a:graphic>
                  <a:graphicData uri="http://schemas.microsoft.com/office/word/2010/wordprocessingShape">
                    <wps:wsp>
                      <wps:cNvCnPr/>
                      <wps:spPr>
                        <a:xfrm>
                          <a:off x="2233774" y="3757140"/>
                          <a:ext cx="6224452" cy="45720"/>
                        </a:xfrm>
                        <a:prstGeom prst="straightConnector1">
                          <a:avLst/>
                        </a:prstGeom>
                        <a:noFill/>
                        <a:ln cap="flat" cmpd="sng" w="19050">
                          <a:solidFill>
                            <a:srgbClr val="D9E5F8"/>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-44901</wp:posOffset>
                </wp:positionH>
                <wp:positionV relativeFrom="paragraph">
                  <wp:posOffset>209731</wp:posOffset>
                </wp:positionV>
                <wp:extent cx="6281602" cy="102870"/>
                <wp:effectExtent b="0" l="0" r="0" t="0"/>
                <wp:wrapNone/>
                <wp:docPr id="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281602" cy="102870"/>
                        </a:xfrm>
                        <a:prstGeom prst="rect"/>
                        <a:ln/>
                      </pic:spPr>
                    </pic:pic>
                  </a:graphicData>
                </a:graphic>
              </wp:anchor>
            </w:drawing>
          </mc:Fallback>
        </mc:AlternateContent>
      </w:r>
    </w:p>
    <w:p w:rsidR="00000000" w:rsidDel="00000000" w:rsidP="00000000" w:rsidRDefault="00000000" w:rsidRPr="00000000" w14:paraId="00000004">
      <w:pPr>
        <w:spacing w:line="360" w:lineRule="auto"/>
        <w:jc w:val="both"/>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05">
            <w:pPr>
              <w:spacing w:line="360" w:lineRule="auto"/>
              <w:jc w:val="both"/>
              <w:rPr/>
            </w:pPr>
            <w:r w:rsidDel="00000000" w:rsidR="00000000" w:rsidRPr="00000000">
              <w:rPr>
                <w:b w:val="1"/>
                <w:bCs w:val="1"/>
                <w:color w:val="ffffff"/>
                <w:rtl w:val="0"/>
              </w:rPr>
              <w:t xml:space="preserve">COMPARECIENTES — Partes del contrato</w:t>
            </w:r>
            <w:r w:rsidDel="00000000" w:rsidR="00000000" w:rsidRPr="00000000">
              <w:rPr>
                <w:rtl w:val="0"/>
              </w:rPr>
            </w:r>
          </w:p>
        </w:tc>
      </w:tr>
    </w:tbl>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b w:val="1"/>
          <w:bCs w:val="1"/>
          <w:rtl w:val="0"/>
        </w:rPr>
        <w:t xml:space="preserve">De una parte: </w:t>
      </w:r>
      <w:r w:rsidDel="00000000" w:rsidR="00000000" w:rsidRPr="00000000">
        <w:rPr>
          <w:b w:val="1"/>
          <w:bCs w:val="1"/>
          <w:color w:val="5b4fcf"/>
          <w:rtl w:val="0"/>
        </w:rPr>
        <w:t xml:space="preserve">JOSÉ ANDRÉS ASENSIO HERNÁNDEZ</w:t>
      </w:r>
      <w:r w:rsidDel="00000000" w:rsidR="00000000" w:rsidRPr="00000000">
        <w:rPr>
          <w:rtl w:val="0"/>
        </w:rPr>
        <w:t xml:space="preserve">, identificado con Documento Personal de Identificación, Código Único de Identificación dos mil quinientos cincuenta y tres, cero cinco mil cincuenta y dos, cero ciento uno (2553 05052 0101), extendido por el Registro Nacional de las Personas —RENAP—, quien actúa en su calidad de Administrador Único y Representante Legal de </w:t>
      </w:r>
      <w:r w:rsidDel="00000000" w:rsidR="00000000" w:rsidRPr="00000000">
        <w:rPr>
          <w:b w:val="1"/>
          <w:bCs w:val="1"/>
          <w:color w:val="5b4fcf"/>
          <w:rtl w:val="0"/>
        </w:rPr>
        <w:t xml:space="preserve">CUBE INVESTMENTS, SOCIEDAD ANÓNIMA</w:t>
      </w:r>
      <w:r w:rsidDel="00000000" w:rsidR="00000000" w:rsidRPr="00000000">
        <w:rPr>
          <w:rtl w:val="0"/>
        </w:rPr>
        <w:t xml:space="preserve">, conforme al nombramiento inscrito en el Registro Mercantil General de la República al número de Registro setecientos quince mil quinientos sesenta y dos (715562), Folio novecientos noventa y siete (997), Libro ochocientos veintidós (822) de Auxiliares de Comercio (en adelante </w:t>
      </w:r>
      <w:r w:rsidDel="00000000" w:rsidR="00000000" w:rsidRPr="00000000">
        <w:rPr>
          <w:b w:val="1"/>
          <w:bCs w:val="1"/>
          <w:color w:val="5b4fcf"/>
          <w:rtl w:val="0"/>
        </w:rPr>
        <w:t xml:space="preserve">"CUBE"</w:t>
      </w:r>
      <w:r w:rsidDel="00000000" w:rsidR="00000000" w:rsidRPr="00000000">
        <w:rPr>
          <w:rtl w:val="0"/>
        </w:rPr>
        <w:t xml:space="preserve">).</w:t>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b w:val="1"/>
          <w:bCs w:val="1"/>
          <w:rtl w:val="0"/>
        </w:rPr>
        <w:t xml:space="preserve">De la otra parte: </w:t>
      </w:r>
      <w:r w:rsidDel="00000000" w:rsidR="00000000" w:rsidRPr="00000000">
        <w:rPr>
          <w:rtl w:val="0"/>
        </w:rPr>
        <w:t xml:space="preserve">{nombreCompleto}</w:t>
      </w:r>
      <w:r w:rsidDel="00000000" w:rsidR="00000000" w:rsidRPr="00000000">
        <w:rPr>
          <w:rtl w:val="0"/>
        </w:rPr>
        <w:t xml:space="preserve">, identificada con Documento Personal de Identificación, Código Único de Identificación </w:t>
      </w:r>
      <w:r w:rsidDel="00000000" w:rsidR="00000000" w:rsidRPr="00000000">
        <w:rPr>
          <w:rtl w:val="0"/>
        </w:rPr>
        <w:t xml:space="preserve">{dpiTexto}</w:t>
      </w:r>
      <w:r w:rsidDel="00000000" w:rsidR="00000000" w:rsidRPr="00000000">
        <w:rPr>
          <w:rtl w:val="0"/>
        </w:rPr>
        <w:t xml:space="preserve">, extendido por el Registro Nacional de las Personas —RENAP—, </w:t>
      </w:r>
      <w:r w:rsidDel="00000000" w:rsidR="00000000" w:rsidRPr="00000000">
        <w:rPr>
          <w:color w:val="000000"/>
          <w:rtl w:val="0"/>
        </w:rPr>
        <w:t xml:space="preserve">Guatemala Centroamérica, de nacionalidad </w:t>
      </w:r>
      <w:r w:rsidDel="00000000" w:rsidR="00000000" w:rsidRPr="00000000">
        <w:rPr>
          <w:color w:val="000000"/>
          <w:rtl w:val="0"/>
        </w:rPr>
        <w:t xml:space="preserve">{nacionalidad}</w:t>
      </w:r>
      <w:r w:rsidDel="00000000" w:rsidR="00000000" w:rsidRPr="00000000">
        <w:rPr>
          <w:color w:val="000000"/>
          <w:rtl w:val="0"/>
        </w:rPr>
        <w:t xml:space="preserve">, </w:t>
      </w:r>
      <w:r w:rsidDel="00000000" w:rsidR="00000000" w:rsidRPr="00000000">
        <w:rPr>
          <w:color w:val="000000"/>
          <w:rtl w:val="0"/>
        </w:rPr>
        <w:t xml:space="preserve">{profesion}</w:t>
      </w:r>
      <w:r w:rsidDel="00000000" w:rsidR="00000000" w:rsidRPr="00000000">
        <w:rPr>
          <w:color w:val="000000"/>
          <w:rtl w:val="0"/>
        </w:rPr>
        <w:t xml:space="preserve">, de este domicilio, actúo en mi calidad de</w:t>
      </w:r>
      <w:r w:rsidDel="00000000" w:rsidR="00000000" w:rsidRPr="00000000">
        <w:rPr>
          <w:color w:val="000000"/>
          <w:rtl w:val="0"/>
        </w:rPr>
        <w:t xml:space="preserve"> {cargoRepresentanteLegal} </w:t>
      </w:r>
      <w:r w:rsidDel="00000000" w:rsidR="00000000" w:rsidRPr="00000000">
        <w:rPr>
          <w:color w:val="000000"/>
          <w:rtl w:val="0"/>
        </w:rPr>
        <w:t xml:space="preserve">de la entidad denominada </w:t>
      </w:r>
      <w:r w:rsidDel="00000000" w:rsidR="00000000" w:rsidRPr="00000000">
        <w:rPr>
          <w:color w:val="000000"/>
          <w:rtl w:val="0"/>
        </w:rPr>
        <w:t xml:space="preserve">{nombreSociedadInversionista}</w:t>
      </w:r>
      <w:r w:rsidDel="00000000" w:rsidR="00000000" w:rsidRPr="00000000">
        <w:rPr>
          <w:color w:val="000000"/>
          <w:rtl w:val="0"/>
        </w:rPr>
        <w:t xml:space="preserve"> calidad que acredito con acta notarial de nombramiento, autorizada en esta ciudad, </w:t>
      </w:r>
      <w:r w:rsidDel="00000000" w:rsidR="00000000" w:rsidRPr="00000000">
        <w:rPr>
          <w:color w:val="000000"/>
          <w:rtl w:val="0"/>
        </w:rPr>
        <w:t xml:space="preserve">{fechaAutorizacionActaNombramiento}</w:t>
      </w:r>
      <w:r w:rsidDel="00000000" w:rsidR="00000000" w:rsidRPr="00000000">
        <w:rPr>
          <w:color w:val="000000"/>
          <w:rtl w:val="0"/>
        </w:rPr>
        <w:t xml:space="preserve">, por </w:t>
      </w:r>
      <w:r w:rsidDel="00000000" w:rsidR="00000000" w:rsidRPr="00000000">
        <w:rPr>
          <w:color w:val="000000"/>
          <w:rtl w:val="0"/>
        </w:rPr>
        <w:t xml:space="preserve">{articuloNotarioActaNombramiento} {nombreNotarioActaNombramiento}</w:t>
      </w:r>
      <w:r w:rsidDel="00000000" w:rsidR="00000000" w:rsidRPr="00000000">
        <w:rPr>
          <w:color w:val="000000"/>
          <w:rtl w:val="0"/>
        </w:rPr>
        <w:t xml:space="preserve"/>
      </w:r>
      <w:r w:rsidDel="00000000" w:rsidR="00000000" w:rsidRPr="00000000">
        <w:rPr>
          <w:color w:val="000000"/>
          <w:rtl w:val="0"/>
        </w:rPr>
        <w:t xml:space="preserve"/>
      </w:r>
      <w:r w:rsidDel="00000000" w:rsidR="00000000" w:rsidRPr="00000000">
        <w:rPr>
          <w:color w:val="000000"/>
          <w:rtl w:val="0"/>
        </w:rPr>
        <w:t xml:space="preserve">, nombramiento que quedó inscrito en el Registro Mercantil General de la República de con el Registro </w:t>
      </w:r>
      <w:r w:rsidDel="00000000" w:rsidR="00000000" w:rsidRPr="00000000">
        <w:rPr>
          <w:color w:val="000000"/>
          <w:rtl w:val="0"/>
        </w:rPr>
        <w:t xml:space="preserve">{numeroRegistroSociedad}</w:t>
      </w:r>
      <w:r w:rsidDel="00000000" w:rsidR="00000000" w:rsidRPr="00000000">
        <w:rPr>
          <w:color w:val="000000"/>
          <w:rtl w:val="0"/>
        </w:rPr>
        <w:t xml:space="preserve">; folio: </w:t>
      </w:r>
      <w:r w:rsidDel="00000000" w:rsidR="00000000" w:rsidRPr="00000000">
        <w:rPr>
          <w:color w:val="000000"/>
          <w:rtl w:val="0"/>
        </w:rPr>
        <w:t xml:space="preserve">{folioRegistroSociedad}</w:t>
      </w:r>
      <w:r w:rsidDel="00000000" w:rsidR="00000000" w:rsidRPr="00000000">
        <w:rPr>
          <w:color w:val="000000"/>
          <w:rtl w:val="0"/>
        </w:rPr>
        <w:t xml:space="preserve">; libro: </w:t>
      </w:r>
      <w:r w:rsidDel="00000000" w:rsidR="00000000" w:rsidRPr="00000000">
        <w:rPr>
          <w:color w:val="000000"/>
          <w:rtl w:val="0"/>
        </w:rPr>
        <w:t xml:space="preserve">{libroRegistroSociedad}</w:t>
      </w:r>
      <w:r w:rsidDel="00000000" w:rsidR="00000000" w:rsidRPr="00000000">
        <w:rPr>
          <w:color w:val="000000"/>
          <w:rtl w:val="0"/>
        </w:rPr>
        <w:t xml:space="preserve"> de auxiliares de comercio</w:t>
      </w:r>
      <w:r w:rsidDel="00000000" w:rsidR="00000000" w:rsidRPr="00000000">
        <w:rPr>
          <w:rtl w:val="0"/>
        </w:rPr>
        <w:t xml:space="preserve"> (en adelante </w:t>
      </w:r>
      <w:r w:rsidDel="00000000" w:rsidR="00000000" w:rsidRPr="00000000">
        <w:rPr>
          <w:b w:val="1"/>
          <w:bCs w:val="1"/>
          <w:color w:val="5b4fcf"/>
          <w:rtl w:val="0"/>
        </w:rPr>
        <w:t xml:space="preserve">"la inversionista"</w:t>
      </w:r>
      <w:r w:rsidDel="00000000" w:rsidR="00000000" w:rsidRPr="00000000">
        <w:rPr>
          <w:rtl w:val="0"/>
        </w:rPr>
        <w:t xml:space="preserve">).</w:t>
      </w:r>
    </w:p>
    <w:p w:rsidR="00000000" w:rsidDel="00000000" w:rsidP="00000000" w:rsidRDefault="00000000" w:rsidRPr="00000000" w14:paraId="0000000A">
      <w:pPr>
        <w:spacing w:line="360" w:lineRule="auto"/>
        <w:jc w:val="both"/>
        <w:rPr/>
      </w:pP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t xml:space="preserve">Ambas partes, en el libre ejercicio de nuestros derechos civiles, suscribimos el presente Contrato de Inversión y Administración de Cartera, que se regirá por las siguientes cláusulas:</w:t>
      </w:r>
    </w:p>
    <w:p w:rsidR="00000000" w:rsidDel="00000000" w:rsidP="00000000" w:rsidRDefault="00000000" w:rsidRPr="00000000" w14:paraId="0000000C">
      <w:pPr>
        <w:spacing w:line="360" w:lineRule="auto"/>
        <w:jc w:val="both"/>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0D">
            <w:pPr>
              <w:spacing w:line="360" w:lineRule="auto"/>
              <w:jc w:val="both"/>
              <w:rPr/>
            </w:pPr>
            <w:r w:rsidDel="00000000" w:rsidR="00000000" w:rsidRPr="00000000">
              <w:rPr>
                <w:b w:val="1"/>
                <w:bCs w:val="1"/>
                <w:color w:val="ffffff"/>
                <w:rtl w:val="0"/>
              </w:rPr>
              <w:t xml:space="preserve">PRIMERA — Declaraciones de la inversionista: Origen lícito de fondos y cumplimiento AML/CFT</w:t>
            </w:r>
            <w:r w:rsidDel="00000000" w:rsidR="00000000" w:rsidRPr="00000000">
              <w:rPr>
                <w:rtl w:val="0"/>
              </w:rPr>
            </w:r>
          </w:p>
        </w:tc>
      </w:tr>
    </w:tbl>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t xml:space="preserve">la inversionista declara y garantiza que: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Todos los fondos que entregue a través de la Plataforma CASH IN tienen origen lícito y no provienen ni se relacionan, directa o indirectamente, con actividades de lavado de dinero, financiamiento del terrorismo, crimen organizado, corrupción, fraude, extorsión, narcotráfico u otras actividades ilícitas.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Actúa por cuenta propia y no en nombre de terceros no revelados. Ha informado a Cube la identidad de sus beneficiarios finales y se compromete a mantener dicha información veraz, completa y actualizada.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Ni él ni sus beneficiarios finales, directores o administradores se encuentran incluidos en listas de sanciones nacionales o internacionales, incluyendo ONU, OFAC, Unión Europea u otras equivalentes.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Proporcionará oportunamente toda la documentación de Conozca a su Cliente —KYC— que Cube le requiera, autorizando la verificación de dichos datos, incluyendo consultas a proveedores externos y bases de datos públicas.</w:t>
      </w: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t xml:space="preserve">La inversionista mantendrá indemne a Cube por daños, costos o sanciones derivados de la falsedad u omisión en las declaraciones anteriores. Cube podrá rechazar fondos, suspender operaciones o reportar a las autoridades competentes si, a su criterio razonable, surgen señales de alerta respecto al cumplimiento de esta cláusula, sin que ello constituya incumplimiento de ninguna obligación contractual.</w:t>
      </w:r>
    </w:p>
    <w:p w:rsidR="00000000" w:rsidDel="00000000" w:rsidP="00000000" w:rsidRDefault="00000000" w:rsidRPr="00000000" w14:paraId="00000016">
      <w:pPr>
        <w:spacing w:line="360" w:lineRule="auto"/>
        <w:jc w:val="both"/>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17">
            <w:pPr>
              <w:spacing w:line="360" w:lineRule="auto"/>
              <w:jc w:val="both"/>
              <w:rPr/>
            </w:pPr>
            <w:r w:rsidDel="00000000" w:rsidR="00000000" w:rsidRPr="00000000">
              <w:rPr>
                <w:b w:val="1"/>
                <w:bCs w:val="1"/>
                <w:color w:val="ffffff"/>
                <w:rtl w:val="0"/>
              </w:rPr>
              <w:t xml:space="preserve">SEGUNDA — Objeto del contrato</w:t>
            </w:r>
            <w:r w:rsidDel="00000000" w:rsidR="00000000" w:rsidRPr="00000000">
              <w:rPr>
                <w:rtl w:val="0"/>
              </w:rPr>
            </w:r>
          </w:p>
        </w:tc>
      </w:tr>
    </w:tbl>
    <w:p w:rsidR="00000000" w:rsidDel="00000000" w:rsidP="00000000" w:rsidRDefault="00000000" w:rsidRPr="00000000" w14:paraId="00000018">
      <w:pPr>
        <w:spacing w:line="360" w:lineRule="auto"/>
        <w:jc w:val="both"/>
        <w:rPr/>
      </w:pP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tl w:val="0"/>
        </w:rPr>
        <w:t xml:space="preserve">Por medio del presente Contrato, las partes acuerdan el marco bajo el cual la inversionista participará en la Plataforma CASH IN, y Cube prestará los servicios de administración de cartera, recepción de pagos por cuenta de terceros y gestión de cobranza sobre las inversiones que la inversionista realice.</w:t>
      </w:r>
    </w:p>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tl w:val="0"/>
        </w:rPr>
        <w:t xml:space="preserve">Cube actúa en todo momento como administrador, receptor de pagos por cuenta de tercero y agente de cobranza — no como intermediario financiero ni como captador de depósitos del público. Las obligaciones de Cube derivadas del presente Contrato son de medio y no de resultado.</w:t>
      </w:r>
    </w:p>
    <w:p w:rsidR="00000000" w:rsidDel="00000000" w:rsidP="00000000" w:rsidRDefault="00000000" w:rsidRPr="00000000" w14:paraId="0000001C">
      <w:pPr>
        <w:spacing w:line="360" w:lineRule="auto"/>
        <w:jc w:val="both"/>
        <w:rPr/>
      </w:pP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1D">
            <w:pPr>
              <w:spacing w:line="360" w:lineRule="auto"/>
              <w:jc w:val="both"/>
              <w:rPr/>
            </w:pPr>
            <w:r w:rsidDel="00000000" w:rsidR="00000000" w:rsidRPr="00000000">
              <w:rPr>
                <w:b w:val="1"/>
                <w:bCs w:val="1"/>
                <w:color w:val="ffffff"/>
                <w:rtl w:val="0"/>
              </w:rPr>
              <w:t xml:space="preserve">TERCERA — La plataforma y el proceso de inversión</w:t>
            </w:r>
            <w:r w:rsidDel="00000000" w:rsidR="00000000" w:rsidRPr="00000000">
              <w:rPr>
                <w:rtl w:val="0"/>
              </w:rPr>
            </w:r>
          </w:p>
        </w:tc>
      </w:tr>
    </w:tbl>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La Plataforma CASH IN</w:t>
      </w: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t xml:space="preserve">Cube pone a disposición de la inversionista la Plataforma digital CASH IN, a través de la cual podrá conocer, evaluar y seleccionar oportunidades de inversión. Las oportunidades también podrán ser presentadas directamente por el ejecutivo de cuenta asignado al Inversionista, quien realizará el análisis crediticio previo y la recomendación correspondiente. La decisión final de invertir es siempre de la inversionista.</w:t>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ind w:left="200" w:firstLine="0"/>
        <w:jc w:val="both"/>
        <w:rPr>
          <w:b w:val="1"/>
          <w:bCs w:val="1"/>
        </w:rPr>
      </w:pPr>
      <w:r w:rsidDel="00000000" w:rsidR="00000000" w:rsidRPr="00000000">
        <w:rPr>
          <w:b w:val="1"/>
          <w:bCs w:val="1"/>
          <w:color w:val="5b4fcf"/>
          <w:rtl w:val="0"/>
        </w:rPr>
        <w:t xml:space="preserve">b)  </w:t>
      </w:r>
      <w:r w:rsidDel="00000000" w:rsidR="00000000" w:rsidRPr="00000000">
        <w:rPr>
          <w:b w:val="1"/>
          <w:bCs w:val="1"/>
          <w:rtl w:val="0"/>
        </w:rPr>
        <w:t xml:space="preserve">Modalidades y forma de participación</w:t>
      </w:r>
    </w:p>
    <w:p w:rsidR="00000000" w:rsidDel="00000000" w:rsidP="00000000" w:rsidRDefault="00000000" w:rsidRPr="00000000" w14:paraId="00000023">
      <w:pPr>
        <w:spacing w:line="360" w:lineRule="auto"/>
        <w:ind w:left="200" w:firstLine="0"/>
        <w:jc w:val="both"/>
        <w:rPr/>
      </w:pPr>
      <w:r w:rsidDel="00000000" w:rsidR="00000000" w:rsidRPr="00000000">
        <w:rPr>
          <w:b w:val="1"/>
          <w:bCs w:val="1"/>
          <w:rtl w:val="0"/>
        </w:rPr>
        <w:t xml:space="preserve">Modalidades de retorno</w:t>
      </w:r>
      <w:r w:rsidDel="00000000" w:rsidR="00000000" w:rsidRPr="00000000">
        <w:rPr>
          <w:rtl w:val="0"/>
        </w:rPr>
      </w:r>
    </w:p>
    <w:p w:rsidR="00000000" w:rsidDel="00000000" w:rsidP="00000000" w:rsidRDefault="00000000" w:rsidRPr="00000000" w14:paraId="00000024">
      <w:pPr>
        <w:spacing w:line="360" w:lineRule="auto"/>
        <w:ind w:left="200" w:firstLine="0"/>
        <w:jc w:val="both"/>
        <w:rPr/>
      </w:pPr>
      <w:r w:rsidDel="00000000" w:rsidR="00000000" w:rsidRPr="00000000">
        <w:rPr>
          <w:rtl w:val="0"/>
        </w:rPr>
        <w:t xml:space="preserve">la inversionista podrá elegir, al momento de cada inversión, la modalidad bajo la cual recibirá sus retornos:</w:t>
      </w:r>
    </w:p>
    <w:p w:rsidR="00000000" w:rsidDel="00000000" w:rsidP="00000000" w:rsidRDefault="00000000" w:rsidRPr="00000000" w14:paraId="00000025">
      <w:pPr>
        <w:spacing w:line="360" w:lineRule="auto"/>
        <w:ind w:left="200" w:firstLine="0"/>
        <w:jc w:val="both"/>
        <w:rPr/>
      </w:pPr>
      <w:r w:rsidDel="00000000" w:rsidR="00000000" w:rsidRPr="00000000">
        <w:rPr>
          <w:rtl w:val="0"/>
        </w:rPr>
        <w:t xml:space="preserve">i) </w:t>
      </w:r>
      <w:r w:rsidDel="00000000" w:rsidR="00000000" w:rsidRPr="00000000">
        <w:rPr>
          <w:b w:val="1"/>
          <w:bCs w:val="1"/>
          <w:rtl w:val="0"/>
        </w:rPr>
        <w:t xml:space="preserve">Tradicional</w:t>
      </w:r>
      <w:r w:rsidDel="00000000" w:rsidR="00000000" w:rsidRPr="00000000">
        <w:rPr>
          <w:rtl w:val="0"/>
        </w:rPr>
        <w:t xml:space="preserve"> — la inversionista recibe mensualmente su proporción de capital e intereses conforme a la tasa pactada.</w:t>
      </w:r>
    </w:p>
    <w:p w:rsidR="00000000" w:rsidDel="00000000" w:rsidP="00000000" w:rsidRDefault="00000000" w:rsidRPr="00000000" w14:paraId="00000026">
      <w:pPr>
        <w:spacing w:line="360" w:lineRule="auto"/>
        <w:ind w:left="200" w:firstLine="0"/>
        <w:jc w:val="both"/>
        <w:rPr/>
      </w:pPr>
      <w:r w:rsidDel="00000000" w:rsidR="00000000" w:rsidRPr="00000000">
        <w:rPr>
          <w:rtl w:val="0"/>
        </w:rPr>
        <w:t xml:space="preserve">ii) </w:t>
      </w:r>
      <w:r w:rsidDel="00000000" w:rsidR="00000000" w:rsidRPr="00000000">
        <w:rPr>
          <w:b w:val="1"/>
          <w:bCs w:val="1"/>
          <w:rtl w:val="0"/>
        </w:rPr>
        <w:t xml:space="preserve">Reinversión de capital</w:t>
      </w:r>
      <w:r w:rsidDel="00000000" w:rsidR="00000000" w:rsidRPr="00000000">
        <w:rPr>
          <w:rtl w:val="0"/>
        </w:rPr>
        <w:t xml:space="preserve"> — el capital recuperado mensualmente se reinvierte automáticamente en nuevas oportunidades, recibiendo la inversionista únicamente los intereses generados.</w:t>
      </w:r>
    </w:p>
    <w:p w:rsidR="00000000" w:rsidDel="00000000" w:rsidP="00000000" w:rsidRDefault="00000000" w:rsidRPr="00000000" w14:paraId="00000027">
      <w:pPr>
        <w:spacing w:line="360" w:lineRule="auto"/>
        <w:ind w:left="200" w:firstLine="0"/>
        <w:jc w:val="both"/>
        <w:rPr/>
      </w:pPr>
      <w:r w:rsidDel="00000000" w:rsidR="00000000" w:rsidRPr="00000000">
        <w:rPr>
          <w:rtl w:val="0"/>
        </w:rPr>
        <w:t xml:space="preserve">iv) </w:t>
      </w:r>
      <w:r w:rsidDel="00000000" w:rsidR="00000000" w:rsidRPr="00000000">
        <w:rPr>
          <w:b w:val="1"/>
          <w:bCs w:val="1"/>
          <w:rtl w:val="0"/>
        </w:rPr>
        <w:t xml:space="preserve">Reinversión total (Interés compuesto)</w:t>
      </w:r>
      <w:r w:rsidDel="00000000" w:rsidR="00000000" w:rsidRPr="00000000">
        <w:rPr>
          <w:rtl w:val="0"/>
        </w:rPr>
        <w:t xml:space="preserve"> — tanto el capital recuperado como los intereses generados se reinvierten automáticamente, acumulándose en la cartera de la inversionista conforme a sus instrucciones.</w:t>
      </w:r>
    </w:p>
    <w:p w:rsidR="00000000" w:rsidDel="00000000" w:rsidP="00000000" w:rsidRDefault="00000000" w:rsidRPr="00000000" w14:paraId="00000028">
      <w:pPr>
        <w:spacing w:line="360" w:lineRule="auto"/>
        <w:ind w:left="200" w:firstLine="0"/>
        <w:jc w:val="both"/>
        <w:rPr/>
      </w:pPr>
      <w:r w:rsidDel="00000000" w:rsidR="00000000" w:rsidRPr="00000000">
        <w:rPr>
          <w:rtl w:val="0"/>
        </w:rPr>
        <w:t xml:space="preserve">La modalidad elegida quedará consignada en el anexo de solicitud inicial correspondiente y podrá modificarse mediante instrucción escrita de la inversionista con al menos quince días de anticipación a la siguiente liquidación.</w:t>
      </w:r>
    </w:p>
    <w:p w:rsidR="00000000" w:rsidDel="00000000" w:rsidP="00000000" w:rsidRDefault="00000000" w:rsidRPr="00000000" w14:paraId="00000029">
      <w:pPr>
        <w:spacing w:line="360" w:lineRule="auto"/>
        <w:ind w:left="200" w:firstLine="0"/>
        <w:jc w:val="both"/>
        <w:rPr>
          <w:b w:val="1"/>
          <w:bCs w:val="1"/>
        </w:rPr>
      </w:pPr>
      <w:r w:rsidDel="00000000" w:rsidR="00000000" w:rsidRPr="00000000">
        <w:rPr>
          <w:rtl w:val="0"/>
        </w:rPr>
      </w:r>
    </w:p>
    <w:p w:rsidR="00000000" w:rsidDel="00000000" w:rsidP="00000000" w:rsidRDefault="00000000" w:rsidRPr="00000000" w14:paraId="0000002A">
      <w:pPr>
        <w:spacing w:line="360" w:lineRule="auto"/>
        <w:ind w:left="200" w:firstLine="0"/>
        <w:jc w:val="both"/>
        <w:rPr/>
      </w:pPr>
      <w:r w:rsidDel="00000000" w:rsidR="00000000" w:rsidRPr="00000000">
        <w:rPr>
          <w:b w:val="1"/>
          <w:bCs w:val="1"/>
          <w:rtl w:val="0"/>
        </w:rPr>
        <w:t xml:space="preserve">Compra de cartera</w:t>
      </w:r>
      <w:r w:rsidDel="00000000" w:rsidR="00000000" w:rsidRPr="00000000">
        <w:rPr>
          <w:rtl w:val="0"/>
        </w:rPr>
      </w:r>
    </w:p>
    <w:p w:rsidR="00000000" w:rsidDel="00000000" w:rsidP="00000000" w:rsidRDefault="00000000" w:rsidRPr="00000000" w14:paraId="0000002B">
      <w:pPr>
        <w:spacing w:line="360" w:lineRule="auto"/>
        <w:ind w:left="200" w:firstLine="0"/>
        <w:jc w:val="both"/>
        <w:rPr/>
      </w:pPr>
      <w:r w:rsidDel="00000000" w:rsidR="00000000" w:rsidRPr="00000000">
        <w:rPr>
          <w:rtl w:val="0"/>
        </w:rPr>
        <w:t xml:space="preserve">La inversionista podrá participar mediante la adquisición de un bloque de créditos activos ya vigentes dentro de la cartera de Cube. Los créditos objeto de la compra se recibirán en el estado en que se encuentren al momento de la transacción, incluyendo las garantías mobiliarias previamente constituidas sobre los activos subyacentes.</w:t>
      </w:r>
    </w:p>
    <w:p w:rsidR="00000000" w:rsidDel="00000000" w:rsidP="00000000" w:rsidRDefault="00000000" w:rsidRPr="00000000" w14:paraId="0000002C">
      <w:pPr>
        <w:spacing w:line="360" w:lineRule="auto"/>
        <w:ind w:left="200" w:firstLine="0"/>
        <w:jc w:val="both"/>
        <w:rPr/>
      </w:pPr>
      <w:r w:rsidDel="00000000" w:rsidR="00000000" w:rsidRPr="00000000">
        <w:rPr>
          <w:rtl w:val="0"/>
        </w:rPr>
        <w:t xml:space="preserve">La inversionista declara aceptar los créditos adquiridos en las condiciones descritas, sin que exista obligación de Cube de subrogarlos, novarlos o reconstituir garantías a su favor.</w:t>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ind w:left="200" w:firstLine="0"/>
        <w:jc w:val="both"/>
        <w:rPr/>
      </w:pPr>
      <w:r w:rsidDel="00000000" w:rsidR="00000000" w:rsidRPr="00000000">
        <w:rPr>
          <w:b w:val="1"/>
          <w:bCs w:val="1"/>
          <w:color w:val="5b4fcf"/>
          <w:rtl w:val="0"/>
        </w:rPr>
        <w:t xml:space="preserve">c)  </w:t>
      </w:r>
      <w:r w:rsidDel="00000000" w:rsidR="00000000" w:rsidRPr="00000000">
        <w:rPr>
          <w:b w:val="1"/>
          <w:bCs w:val="1"/>
          <w:rtl w:val="0"/>
        </w:rPr>
        <w:t xml:space="preserve">Monto inicial y reinversión</w:t>
      </w: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t xml:space="preserve">El monto inicial que la inversionista decida aportar constará en la carta suscrita por el propio Inversionista que se adjuntará como Anexo 1. la inversionista podrá instruir a Cube la reinversión total o parcial de sus retornos mediante instrucción escrita. La reinversión no será automática salvo instrucción expresa.</w:t>
      </w:r>
    </w:p>
    <w:p w:rsidR="00000000" w:rsidDel="00000000" w:rsidP="00000000" w:rsidRDefault="00000000" w:rsidRPr="00000000" w14:paraId="00000030">
      <w:pPr>
        <w:spacing w:line="360" w:lineRule="auto"/>
        <w:jc w:val="both"/>
        <w:rPr/>
      </w:pP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31">
            <w:pPr>
              <w:spacing w:line="360" w:lineRule="auto"/>
              <w:jc w:val="both"/>
              <w:rPr/>
            </w:pPr>
            <w:r w:rsidDel="00000000" w:rsidR="00000000" w:rsidRPr="00000000">
              <w:rPr>
                <w:b w:val="1"/>
                <w:bCs w:val="1"/>
                <w:color w:val="ffffff"/>
                <w:rtl w:val="0"/>
              </w:rPr>
              <w:t xml:space="preserve">CUARTA — Mecanismo de protección del activo</w:t>
            </w:r>
            <w:r w:rsidDel="00000000" w:rsidR="00000000" w:rsidRPr="00000000">
              <w:rPr>
                <w:rtl w:val="0"/>
              </w:rPr>
            </w:r>
          </w:p>
        </w:tc>
      </w:tr>
    </w:tbl>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tl w:val="0"/>
        </w:rPr>
        <w:t xml:space="preserve">Cada vehículo financiado con fondos de la inversionista queda protegido mediante el siguiente mecanismo integral, que Cube mantiene en beneficio de la cartera que administra:</w:t>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Titularidad registral</w:t>
      </w: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t xml:space="preserve">Los vehículos son adquiridos y mantenidos bajo titularidad registral de RDBE, Sociedad Anónima, entidad vinculada a Cube, durante todo el plazo del financiamiento. El deudor recibe exclusivamente un contrato de uso por dicho plazo, sin adquirir en ningún momento titularidad ni facultad de disposición sobre el bien.</w:t>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spacing w:line="360" w:lineRule="auto"/>
        <w:ind w:left="200" w:firstLine="0"/>
        <w:jc w:val="both"/>
        <w:rPr/>
      </w:pPr>
      <w:r w:rsidDel="00000000" w:rsidR="00000000" w:rsidRPr="00000000">
        <w:rPr>
          <w:b w:val="1"/>
          <w:bCs w:val="1"/>
          <w:color w:val="5b4fcf"/>
          <w:rtl w:val="0"/>
        </w:rPr>
        <w:t xml:space="preserve">b)  </w:t>
      </w:r>
      <w:r w:rsidDel="00000000" w:rsidR="00000000" w:rsidRPr="00000000">
        <w:rPr>
          <w:b w:val="1"/>
          <w:bCs w:val="1"/>
          <w:rtl w:val="0"/>
        </w:rPr>
        <w:t xml:space="preserve">Garantía mobiliaria inscrita</w:t>
      </w: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t xml:space="preserve">Sobre cada vehículo financiado se constituye e inscribe una garantía mobiliaria en el Registro de Garantías Mobiliarias de Guatemala. Esta inscripción es pública y verificable, e impide cualquier transferencia, venta o disposición del bien a terceros de buena fe durante la vigencia del financiamiento.</w:t>
      </w:r>
    </w:p>
    <w:p w:rsidR="00000000" w:rsidDel="00000000" w:rsidP="00000000" w:rsidRDefault="00000000" w:rsidRPr="00000000" w14:paraId="0000003A">
      <w:pPr>
        <w:spacing w:line="360" w:lineRule="auto"/>
        <w:jc w:val="both"/>
        <w:rPr/>
      </w:pPr>
      <w:r w:rsidDel="00000000" w:rsidR="00000000" w:rsidRPr="00000000">
        <w:rPr>
          <w:rtl w:val="0"/>
        </w:rPr>
      </w:r>
    </w:p>
    <w:p w:rsidR="00000000" w:rsidDel="00000000" w:rsidP="00000000" w:rsidRDefault="00000000" w:rsidRPr="00000000" w14:paraId="0000003B">
      <w:pPr>
        <w:spacing w:line="360" w:lineRule="auto"/>
        <w:ind w:left="200" w:firstLine="0"/>
        <w:jc w:val="both"/>
        <w:rPr/>
      </w:pPr>
      <w:r w:rsidDel="00000000" w:rsidR="00000000" w:rsidRPr="00000000">
        <w:rPr>
          <w:b w:val="1"/>
          <w:bCs w:val="1"/>
          <w:color w:val="5b4fcf"/>
          <w:rtl w:val="0"/>
        </w:rPr>
        <w:t xml:space="preserve">c)  </w:t>
      </w:r>
      <w:r w:rsidDel="00000000" w:rsidR="00000000" w:rsidRPr="00000000">
        <w:rPr>
          <w:b w:val="1"/>
          <w:bCs w:val="1"/>
          <w:rtl w:val="0"/>
        </w:rPr>
        <w:t xml:space="preserve">Control efectivo del activo</w:t>
      </w: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t xml:space="preserve">La combinación de titularidad registral en RDBE y garantía mobiliaria inscrita otorga a Cube un control efectivo y verificable sobre cada vehículo financiado. Esta estructura es más robusta que una garantía directa a favor de la inversionista individual, ya que elimina desde el origen la posibilidad de que el deudor disponga del bien sin autorización de Cube.</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ind w:left="200" w:firstLine="0"/>
        <w:jc w:val="both"/>
        <w:rPr/>
      </w:pPr>
      <w:r w:rsidDel="00000000" w:rsidR="00000000" w:rsidRPr="00000000">
        <w:rPr>
          <w:b w:val="1"/>
          <w:bCs w:val="1"/>
          <w:color w:val="5b4fcf"/>
          <w:rtl w:val="0"/>
        </w:rPr>
        <w:t xml:space="preserve">d)  </w:t>
      </w:r>
      <w:r w:rsidDel="00000000" w:rsidR="00000000" w:rsidRPr="00000000">
        <w:rPr>
          <w:b w:val="1"/>
          <w:bCs w:val="1"/>
          <w:rtl w:val="0"/>
        </w:rPr>
        <w:t xml:space="preserve">Gestión ante mora</w:t>
      </w: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t xml:space="preserve">Si una inversión incurre en mora por más de dos meses, será considerada inversión en recuperación, activándose el protocolo de gestión activa de cartera de Cube.</w:t>
      </w:r>
    </w:p>
    <w:p w:rsidR="00000000" w:rsidDel="00000000" w:rsidP="00000000" w:rsidRDefault="00000000" w:rsidRPr="00000000" w14:paraId="00000040">
      <w:pPr>
        <w:spacing w:line="360" w:lineRule="auto"/>
        <w:jc w:val="both"/>
        <w:rPr/>
      </w:pPr>
      <w:r w:rsidDel="00000000" w:rsidR="00000000" w:rsidRPr="00000000">
        <w:rPr>
          <w:rtl w:val="0"/>
        </w:rPr>
        <w:t xml:space="preserve">Como regla general, y cuando sea posible, de contar con un crédito equivalente, Cube sustituirá la inversión en mora por otro crédito activo equivalente antes de que dicha mora se refleje en la liquidación de la inversionista, manteniéndose el flujo normal de liquidaciones sin interrupción. </w:t>
      </w:r>
    </w:p>
    <w:p w:rsidR="00000000" w:rsidDel="00000000" w:rsidP="00000000" w:rsidRDefault="00000000" w:rsidRPr="00000000" w14:paraId="00000041">
      <w:pPr>
        <w:spacing w:line="360" w:lineRule="auto"/>
        <w:jc w:val="both"/>
        <w:rPr/>
      </w:pPr>
      <w:r w:rsidDel="00000000" w:rsidR="00000000" w:rsidRPr="00000000">
        <w:rPr>
          <w:rtl w:val="0"/>
        </w:rPr>
        <w:t xml:space="preserve">Esta sustitución opera de forma preventiva, de modo que en condiciones normales de operación la inversionista no percibirá afectación en sus retornos por mora de deudores individuales.</w:t>
      </w:r>
    </w:p>
    <w:p w:rsidR="00000000" w:rsidDel="00000000" w:rsidP="00000000" w:rsidRDefault="00000000" w:rsidRPr="00000000" w14:paraId="00000042">
      <w:pPr>
        <w:spacing w:line="360" w:lineRule="auto"/>
        <w:jc w:val="both"/>
        <w:rPr/>
      </w:pPr>
      <w:r w:rsidDel="00000000" w:rsidR="00000000" w:rsidRPr="00000000">
        <w:rPr>
          <w:rtl w:val="0"/>
        </w:rPr>
        <w:t xml:space="preserve">Únicamente cuando Cube no disponga de cartera vigente al día suficiente para realizar la sustitución, la inversión en mora se reflejará en la liquidación mensual de la inversionista como saldo pendiente de recuperación. </w:t>
      </w:r>
    </w:p>
    <w:p w:rsidR="00000000" w:rsidDel="00000000" w:rsidP="00000000" w:rsidRDefault="00000000" w:rsidRPr="00000000" w14:paraId="00000043">
      <w:pPr>
        <w:spacing w:line="360" w:lineRule="auto"/>
        <w:jc w:val="both"/>
        <w:rPr/>
      </w:pPr>
      <w:r w:rsidDel="00000000" w:rsidR="00000000" w:rsidRPr="00000000">
        <w:rPr>
          <w:rtl w:val="0"/>
        </w:rPr>
        <w:t xml:space="preserve">En este supuesto, Cube asumirá la gestión del proceso de recuperación, incluyendo gestiones extrajudiciales, judiciales y ejecución de garantías mobiliarias, sin costo adicional para la inversionista.</w:t>
      </w:r>
    </w:p>
    <w:p w:rsidR="00000000" w:rsidDel="00000000" w:rsidP="00000000" w:rsidRDefault="00000000" w:rsidRPr="00000000" w14:paraId="00000044">
      <w:pPr>
        <w:spacing w:line="360" w:lineRule="auto"/>
        <w:jc w:val="both"/>
        <w:rPr/>
      </w:pPr>
      <w:r w:rsidDel="00000000" w:rsidR="00000000" w:rsidRPr="00000000">
        <w:rPr>
          <w:rtl w:val="0"/>
        </w:rPr>
        <w:t xml:space="preserve">Los montos efectivamente recuperados se aplicarán en el siguiente orden de prelación: i) reintegro del capital de la inversionista; ii) intereses correspondientes al Inversionista conforme a la tasa pactada; iii) proporción de intereses y honorarios de Cube; iv) gastos y costas del proceso de recuperación incurridos por Cube</w:t>
      </w:r>
    </w:p>
    <w:p w:rsidR="00000000" w:rsidDel="00000000" w:rsidP="00000000" w:rsidRDefault="00000000" w:rsidRPr="00000000" w14:paraId="00000045">
      <w:pPr>
        <w:spacing w:line="360" w:lineRule="auto"/>
        <w:jc w:val="both"/>
        <w:rPr/>
      </w:pPr>
      <w:r w:rsidDel="00000000" w:rsidR="00000000" w:rsidRPr="00000000">
        <w:rPr>
          <w:rtl w:val="0"/>
        </w:rPr>
        <w:t xml:space="preserve">Cube comunicará al Inversionista el estado de las gestiones de recuperación de forma mensual, manteniéndolo informado sobre las acciones implementadas.</w:t>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t xml:space="preserve">La inversionista declara haber comprendido el funcionamiento de esta estructura, reconoce que le otorga protección real sobre el activo subyacente de su inversión, y acepta expresamente sus términos como condición de participación en la Plataforma CASH IN.</w:t>
      </w:r>
    </w:p>
    <w:p w:rsidR="00000000" w:rsidDel="00000000" w:rsidP="00000000" w:rsidRDefault="00000000" w:rsidRPr="00000000" w14:paraId="00000048">
      <w:pPr>
        <w:spacing w:line="360" w:lineRule="auto"/>
        <w:jc w:val="both"/>
        <w:rPr/>
      </w:pP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49">
            <w:pPr>
              <w:tabs>
                <w:tab w:val="left" w:leader="none" w:pos="6717"/>
              </w:tabs>
              <w:spacing w:line="360" w:lineRule="auto"/>
              <w:jc w:val="both"/>
              <w:rPr/>
            </w:pPr>
            <w:r w:rsidDel="00000000" w:rsidR="00000000" w:rsidRPr="00000000">
              <w:rPr>
                <w:b w:val="1"/>
                <w:bCs w:val="1"/>
                <w:color w:val="ffffff"/>
                <w:rtl w:val="0"/>
              </w:rPr>
              <w:t xml:space="preserve">QUINTA — Administración, cobro y liquidaciones</w:t>
              <w:tab/>
            </w:r>
            <w:r w:rsidDel="00000000" w:rsidR="00000000" w:rsidRPr="00000000">
              <w:rPr>
                <w:rtl w:val="0"/>
              </w:rPr>
            </w:r>
          </w:p>
        </w:tc>
      </w:tr>
    </w:tbl>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Servicios de administración</w:t>
      </w: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t xml:space="preserve">Cube se compromete a prestar los siguientes servicios durante la vigencia de cada inversión: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Recibir los desembolsos </w:t>
      </w:r>
      <w:r w:rsidDel="00000000" w:rsidR="00000000" w:rsidRPr="00000000">
        <w:rPr>
          <w:rtl w:val="0"/>
        </w:rPr>
        <w:t xml:space="preserve">de la inversionista</w:t>
      </w: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 y trasladarlos conforme a las instrucciones acordadas.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Emitir recordatorios periódicos a los deudores sobre fechas, montos y formas de pago.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Gestionar el cobro extrajudicial y, cuando corresponda, judicial de los créditos.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Mantener registros actualizados de inversiones, saldos, moras y estatus de cartera.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Realizar acuerdos extrajudiciales de pago con deudores cuando lo considere razonable y beneficioso para la recuperación de fondos, sin necesidad de autorización previa </w:t>
      </w:r>
      <w:r w:rsidDel="00000000" w:rsidR="00000000" w:rsidRPr="00000000">
        <w:rPr>
          <w:rtl w:val="0"/>
        </w:rPr>
        <w:t xml:space="preserve">de la inversionista</w:t>
      </w: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ind w:left="200" w:firstLine="0"/>
        <w:jc w:val="both"/>
        <w:rPr/>
      </w:pPr>
      <w:r w:rsidDel="00000000" w:rsidR="00000000" w:rsidRPr="00000000">
        <w:rPr>
          <w:b w:val="1"/>
          <w:bCs w:val="1"/>
          <w:color w:val="5b4fcf"/>
          <w:rtl w:val="0"/>
        </w:rPr>
        <w:t xml:space="preserve">b)  </w:t>
      </w:r>
      <w:r w:rsidDel="00000000" w:rsidR="00000000" w:rsidRPr="00000000">
        <w:rPr>
          <w:b w:val="1"/>
          <w:bCs w:val="1"/>
          <w:rtl w:val="0"/>
        </w:rPr>
        <w:t xml:space="preserve">Liquidaciones mensuales</w:t>
      </w: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tl w:val="0"/>
        </w:rPr>
        <w:t xml:space="preserve">Cube realizará liquidaciones mensuales de los pagos recibidos, que remitirá al Inversionista a más tardar el día diez del mes siguiente, o día hábil inmediato posterior. Cada liquidación detallará por separado el capital e intereses a favor de la inversionista. </w:t>
      </w:r>
    </w:p>
    <w:p w:rsidR="00000000" w:rsidDel="00000000" w:rsidP="00000000" w:rsidRDefault="00000000" w:rsidRPr="00000000" w14:paraId="00000055">
      <w:pPr>
        <w:spacing w:line="360" w:lineRule="auto"/>
        <w:jc w:val="both"/>
        <w:rPr/>
      </w:pPr>
      <w:r w:rsidDel="00000000" w:rsidR="00000000" w:rsidRPr="00000000">
        <w:rPr>
          <w:rtl w:val="0"/>
        </w:rPr>
        <w:t xml:space="preserve">La inversionista tendrá cinco días hábiles para presentar consultas u objeciones. Transcurrido dicho plazo sin objeción, la liquidación se tendrá por aceptada. </w:t>
      </w:r>
    </w:p>
    <w:p w:rsidR="00000000" w:rsidDel="00000000" w:rsidP="00000000" w:rsidRDefault="00000000" w:rsidRPr="00000000" w14:paraId="00000056">
      <w:pPr>
        <w:spacing w:line="360" w:lineRule="auto"/>
        <w:jc w:val="both"/>
        <w:rPr/>
      </w:pPr>
      <w:r w:rsidDel="00000000" w:rsidR="00000000" w:rsidRPr="00000000">
        <w:rPr>
          <w:rtl w:val="0"/>
        </w:rPr>
        <w:t xml:space="preserve">Cuando la inversionista decida reinvertir total o parcialmente sus rendimientos o capital acumulado, podrá instruir a Cube por escrito para que dicho monto sea aplicado a nuevas oportunidades de inversión mediante la cesión de créditos activos equivalentes. En este caso, la cesión formalizará el monto reinvertido y no constituirá una forma alternativa de pago por parte de Cube.</w:t>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ind w:left="200" w:firstLine="0"/>
        <w:jc w:val="both"/>
        <w:rPr/>
      </w:pPr>
      <w:r w:rsidDel="00000000" w:rsidR="00000000" w:rsidRPr="00000000">
        <w:rPr>
          <w:b w:val="1"/>
          <w:bCs w:val="1"/>
          <w:color w:val="5b4fcf"/>
          <w:rtl w:val="0"/>
        </w:rPr>
        <w:t xml:space="preserve">c)  </w:t>
      </w:r>
      <w:r w:rsidDel="00000000" w:rsidR="00000000" w:rsidRPr="00000000">
        <w:rPr>
          <w:b w:val="1"/>
          <w:bCs w:val="1"/>
          <w:rtl w:val="0"/>
        </w:rPr>
        <w:t xml:space="preserve">Registros contables</w:t>
      </w: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t xml:space="preserve">Cube llevará registros completos y precisos de todas las operaciones derivadas del presente Contrato. En caso de discrepancia entre los registros de las partes, prevalecerán los de Cube.</w:t>
      </w:r>
    </w:p>
    <w:p w:rsidR="00000000" w:rsidDel="00000000" w:rsidP="00000000" w:rsidRDefault="00000000" w:rsidRPr="00000000" w14:paraId="0000005A">
      <w:pPr>
        <w:spacing w:line="360" w:lineRule="auto"/>
        <w:jc w:val="both"/>
        <w:rPr/>
      </w:pPr>
      <w:r w:rsidDel="00000000" w:rsidR="00000000" w:rsidRPr="00000000">
        <w:rPr>
          <w:rtl w:val="0"/>
        </w:rPr>
        <w:t xml:space="preserve">Cube se compromete a remitir al Inversionista, junto con cada liquidación mensual, un estado de cuenta detallado que refleje el saldo de capital e intereses generados, y estatus de cada inversión vigente, de forma que la inversionista cuente con información suficiente y oportuna sobre el desempeño de su cartera.</w:t>
      </w:r>
    </w:p>
    <w:p w:rsidR="00000000" w:rsidDel="00000000" w:rsidP="00000000" w:rsidRDefault="00000000" w:rsidRPr="00000000" w14:paraId="0000005B">
      <w:pPr>
        <w:spacing w:line="360" w:lineRule="auto"/>
        <w:jc w:val="both"/>
        <w:rPr/>
      </w:pPr>
      <w:r w:rsidDel="00000000" w:rsidR="00000000" w:rsidRPr="00000000">
        <w:rPr>
          <w:rtl w:val="0"/>
        </w:rPr>
      </w:r>
    </w:p>
    <w:p w:rsidR="00000000" w:rsidDel="00000000" w:rsidP="00000000" w:rsidRDefault="00000000" w:rsidRPr="00000000" w14:paraId="0000005C">
      <w:pPr>
        <w:spacing w:line="360" w:lineRule="auto"/>
        <w:ind w:left="200" w:firstLine="0"/>
        <w:jc w:val="both"/>
        <w:rPr/>
      </w:pPr>
      <w:r w:rsidDel="00000000" w:rsidR="00000000" w:rsidRPr="00000000">
        <w:rPr>
          <w:b w:val="1"/>
          <w:bCs w:val="1"/>
          <w:color w:val="5b4fcf"/>
          <w:rtl w:val="0"/>
        </w:rPr>
        <w:t xml:space="preserve">d)  </w:t>
      </w:r>
      <w:r w:rsidDel="00000000" w:rsidR="00000000" w:rsidRPr="00000000">
        <w:rPr>
          <w:b w:val="1"/>
          <w:bCs w:val="1"/>
          <w:rtl w:val="0"/>
        </w:rPr>
        <w:t xml:space="preserve">Reinversión</w:t>
      </w: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t xml:space="preserve">Cuando la inversionista opte por cualquiera de las modalidades de reinversión establecidas en la cláusula tercera, bastará con la instrucción escrita de la inversionista — incluyendo comunicación por correo electrónico a la dirección registrada de Cube — para que Cube aplique los montos correspondientes a nuevas oportunidades dentro de la cartera administrada. </w:t>
      </w:r>
    </w:p>
    <w:p w:rsidR="00000000" w:rsidDel="00000000" w:rsidP="00000000" w:rsidRDefault="00000000" w:rsidRPr="00000000" w14:paraId="0000005E">
      <w:pPr>
        <w:spacing w:line="360" w:lineRule="auto"/>
        <w:jc w:val="both"/>
        <w:rPr/>
      </w:pPr>
      <w:r w:rsidDel="00000000" w:rsidR="00000000" w:rsidRPr="00000000">
        <w:rPr>
          <w:rtl w:val="0"/>
        </w:rPr>
        <w:t xml:space="preserve">No será necesaria la suscripción de contratos adicionales, cesiones ni ningún otro instrumento para formalizar la reinversión, siendo suficiente el registro interno de Cube y la liquidación mensual correspondiente como constancia de la operación.</w:t>
      </w:r>
    </w:p>
    <w:p w:rsidR="00000000" w:rsidDel="00000000" w:rsidP="00000000" w:rsidRDefault="00000000" w:rsidRPr="00000000" w14:paraId="0000005F">
      <w:pPr>
        <w:spacing w:line="360" w:lineRule="auto"/>
        <w:jc w:val="both"/>
        <w:rPr/>
      </w:pPr>
      <w:r w:rsidDel="00000000" w:rsidR="00000000" w:rsidRPr="00000000">
        <w:rPr>
          <w:rtl w:val="0"/>
        </w:rPr>
        <w:t xml:space="preserve">La modalidad de inversión elegida podrá modificarse mediante instrucción escrita o correo electrónico de la inversionista, con al menos quince días de anticipación a la siguiente liquidación. Cube podrá requerir al Inversionista la suscripción de una carta de confirmación cuando el cambio solicitado implique una modificación sustancial en la forma de recepción de sus retornos</w:t>
      </w:r>
    </w:p>
    <w:p w:rsidR="00000000" w:rsidDel="00000000" w:rsidP="00000000" w:rsidRDefault="00000000" w:rsidRPr="00000000" w14:paraId="00000060">
      <w:pPr>
        <w:spacing w:line="360" w:lineRule="auto"/>
        <w:jc w:val="both"/>
        <w:rPr/>
      </w:pPr>
      <w:r w:rsidDel="00000000" w:rsidR="00000000" w:rsidRPr="00000000">
        <w:rPr>
          <w:rtl w:val="0"/>
        </w:rPr>
      </w:r>
    </w:p>
    <w:p w:rsidR="00000000" w:rsidDel="00000000" w:rsidP="00000000" w:rsidRDefault="00000000" w:rsidRPr="00000000" w14:paraId="00000061">
      <w:pPr>
        <w:spacing w:line="360" w:lineRule="auto"/>
        <w:jc w:val="both"/>
        <w:rPr/>
      </w:pP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62">
            <w:pPr>
              <w:spacing w:line="360" w:lineRule="auto"/>
              <w:jc w:val="both"/>
              <w:rPr/>
            </w:pPr>
            <w:r w:rsidDel="00000000" w:rsidR="00000000" w:rsidRPr="00000000">
              <w:rPr>
                <w:b w:val="1"/>
                <w:bCs w:val="1"/>
                <w:color w:val="ffffff"/>
                <w:rtl w:val="0"/>
              </w:rPr>
              <w:t xml:space="preserve">SEXTA —  Condiciones comerciales</w:t>
            </w:r>
            <w:r w:rsidDel="00000000" w:rsidR="00000000" w:rsidRPr="00000000">
              <w:rPr>
                <w:rtl w:val="0"/>
              </w:rPr>
            </w:r>
          </w:p>
        </w:tc>
      </w:tr>
    </w:tbl>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b w:val="1"/>
          <w:bCs w:val="1"/>
          <w:i w:val="1"/>
          <w:iCs w:val="1"/>
          <w:color w:val="8888aa"/>
          <w:rtl w:val="0"/>
        </w:rPr>
        <w:t xml:space="preserve">Nota: </w:t>
      </w:r>
      <w:r w:rsidDel="00000000" w:rsidR="00000000" w:rsidRPr="00000000">
        <w:rPr>
          <w:i w:val="1"/>
          <w:iCs w:val="1"/>
          <w:color w:val="8888aa"/>
          <w:rtl w:val="0"/>
        </w:rPr>
        <w:t xml:space="preserve">Esta cláusula podrá actualizarse mediante addendum suscrito por ambas partes, sin necesidad de modificar el resto del Contrato.</w:t>
      </w:r>
      <w:r w:rsidDel="00000000" w:rsidR="00000000" w:rsidRPr="00000000">
        <w:rPr>
          <w:rtl w:val="0"/>
        </w:rPr>
      </w:r>
    </w:p>
    <w:p w:rsidR="00000000" w:rsidDel="00000000" w:rsidP="00000000" w:rsidRDefault="00000000" w:rsidRPr="00000000" w14:paraId="00000065">
      <w:pPr>
        <w:spacing w:line="360" w:lineRule="auto"/>
        <w:jc w:val="both"/>
        <w:rPr/>
      </w:pPr>
      <w:r w:rsidDel="00000000" w:rsidR="00000000" w:rsidRPr="00000000">
        <w:rPr>
          <w:rtl w:val="0"/>
        </w:rPr>
      </w:r>
    </w:p>
    <w:p w:rsidR="00000000" w:rsidDel="00000000" w:rsidP="00000000" w:rsidRDefault="00000000" w:rsidRPr="00000000" w14:paraId="00000066">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Tasa de retorno de la inversionista</w:t>
      </w:r>
      <w:r w:rsidDel="00000000" w:rsidR="00000000" w:rsidRPr="00000000">
        <w:rPr>
          <w:rtl w:val="0"/>
        </w:rPr>
      </w:r>
    </w:p>
    <w:p w:rsidR="00000000" w:rsidDel="00000000" w:rsidP="00000000" w:rsidRDefault="00000000" w:rsidRPr="00000000" w14:paraId="00000067">
      <w:pPr>
        <w:spacing w:line="360" w:lineRule="auto"/>
        <w:jc w:val="both"/>
        <w:rPr/>
      </w:pPr>
      <w:r w:rsidDel="00000000" w:rsidR="00000000" w:rsidRPr="00000000">
        <w:rPr>
          <w:rtl w:val="0"/>
        </w:rPr>
        <w:t xml:space="preserve">Las partes acuerdan que la inversionista recibirá una tasa de retorno del </w:t>
      </w:r>
      <w:r w:rsidDel="00000000" w:rsidR="00000000" w:rsidRPr="00000000">
        <w:rPr>
          <w:rtl w:val="0"/>
        </w:rPr>
        <w:t xml:space="preserve">{tasaRetornoAnualIva}</w:t>
      </w:r>
      <w:r w:rsidDel="00000000" w:rsidR="00000000" w:rsidRPr="00000000">
        <w:rPr>
          <w:rtl w:val="0"/>
        </w:rPr>
        <w:t xml:space="preserve">% anual más IVA (equivalente a una tasa neta de </w:t>
      </w:r>
      <w:r w:rsidDel="00000000" w:rsidR="00000000" w:rsidRPr="00000000">
        <w:rPr>
          <w:rtl w:val="0"/>
        </w:rPr>
        <w:t xml:space="preserve">{tasaRetornoAnual}</w:t>
      </w:r>
      <w:r w:rsidDel="00000000" w:rsidR="00000000" w:rsidRPr="00000000">
        <w:rPr>
          <w:rtl w:val="0"/>
        </w:rPr>
        <w:t xml:space="preserve">% anual) sobre el capital efectivamente colocado</w:t>
      </w:r>
    </w:p>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spacing w:line="360" w:lineRule="auto"/>
        <w:ind w:left="200" w:firstLine="0"/>
        <w:jc w:val="both"/>
        <w:rPr>
          <w:b w:val="1"/>
          <w:bCs w:val="1"/>
        </w:rPr>
      </w:pPr>
      <w:r w:rsidDel="00000000" w:rsidR="00000000" w:rsidRPr="00000000">
        <w:rPr>
          <w:b w:val="1"/>
          <w:bCs w:val="1"/>
          <w:color w:val="5b4fcf"/>
          <w:rtl w:val="0"/>
        </w:rPr>
        <w:t xml:space="preserve">b)  </w:t>
      </w:r>
      <w:r w:rsidDel="00000000" w:rsidR="00000000" w:rsidRPr="00000000">
        <w:rPr>
          <w:b w:val="1"/>
          <w:bCs w:val="1"/>
          <w:rtl w:val="0"/>
        </w:rPr>
        <w:t xml:space="preserve">Transferencia de posición</w:t>
      </w:r>
    </w:p>
    <w:p w:rsidR="00000000" w:rsidDel="00000000" w:rsidP="00000000" w:rsidRDefault="00000000" w:rsidRPr="00000000" w14:paraId="0000006A">
      <w:pPr>
        <w:spacing w:line="360" w:lineRule="auto"/>
        <w:jc w:val="both"/>
        <w:rPr/>
      </w:pPr>
      <w:r w:rsidDel="00000000" w:rsidR="00000000" w:rsidRPr="00000000">
        <w:rPr>
          <w:rtl w:val="0"/>
        </w:rPr>
        <w:t xml:space="preserve">La transferencia total o parcial de la posición de la inversionista a un tercero únicamente podrá realizarse a través de Cube, mediante el mecanismo de compra de cartera establecido en la cláusula tercera. En ningún caso la inversionista podrá ceder, transferir o gravar su posición directamente a un tercero sin la intervención y validación previa de Cube.</w:t>
      </w:r>
    </w:p>
    <w:p w:rsidR="00000000" w:rsidDel="00000000" w:rsidP="00000000" w:rsidRDefault="00000000" w:rsidRPr="00000000" w14:paraId="0000006B">
      <w:pPr>
        <w:spacing w:line="360" w:lineRule="auto"/>
        <w:jc w:val="both"/>
        <w:rPr/>
      </w:pPr>
      <w:r w:rsidDel="00000000" w:rsidR="00000000" w:rsidRPr="00000000">
        <w:rPr>
          <w:rtl w:val="0"/>
        </w:rPr>
        <w:t xml:space="preserve">Cube podrá rechazar la transferencia si el tercero propuesto no cumple con los requisitos de debida diligencia y prevención de lavado de dinero aplicables, sin que ello genere responsabilidad alguna para Cube.</w:t>
      </w:r>
    </w:p>
    <w:p w:rsidR="00000000" w:rsidDel="00000000" w:rsidP="00000000" w:rsidRDefault="00000000" w:rsidRPr="00000000" w14:paraId="0000006C">
      <w:pPr>
        <w:spacing w:line="360" w:lineRule="auto"/>
        <w:jc w:val="both"/>
        <w:rPr/>
      </w:pPr>
      <w:r w:rsidDel="00000000" w:rsidR="00000000" w:rsidRPr="00000000">
        <w:rPr>
          <w:rtl w:val="0"/>
        </w:rPr>
        <w:t xml:space="preserve">Todos los costos asociados a la transferencia — incluyendo honorarios, gastos administrativos e impuestos aplicables — serán asumidos por la inversionista cedente.</w:t>
      </w:r>
    </w:p>
    <w:p w:rsidR="00000000" w:rsidDel="00000000" w:rsidP="00000000" w:rsidRDefault="00000000" w:rsidRPr="00000000" w14:paraId="0000006D">
      <w:pPr>
        <w:spacing w:line="360" w:lineRule="auto"/>
        <w:jc w:val="both"/>
        <w:rPr/>
      </w:pP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6E">
            <w:pPr>
              <w:spacing w:line="360" w:lineRule="auto"/>
              <w:jc w:val="both"/>
              <w:rPr/>
            </w:pPr>
            <w:r w:rsidDel="00000000" w:rsidR="00000000" w:rsidRPr="00000000">
              <w:rPr>
                <w:b w:val="1"/>
                <w:bCs w:val="1"/>
                <w:color w:val="ffffff"/>
                <w:rtl w:val="0"/>
              </w:rPr>
              <w:t xml:space="preserve">SÉPTIMA — Terminación</w:t>
            </w:r>
            <w:r w:rsidDel="00000000" w:rsidR="00000000" w:rsidRPr="00000000">
              <w:rPr>
                <w:rtl w:val="0"/>
              </w:rPr>
            </w:r>
          </w:p>
        </w:tc>
      </w:tr>
    </w:tbl>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pPr>
      <w:r w:rsidDel="00000000" w:rsidR="00000000" w:rsidRPr="00000000">
        <w:rPr>
          <w:rtl w:val="0"/>
        </w:rPr>
        <w:t xml:space="preserve">El presente Contrato tendrá vigencia por el plazo que dure la totalidad de las inversiones vigentes de la inversionista, el cual estará determinado naturalmente por el plazo de los contratos de crédito subyacentes. El Contrato se extinguirá de forma natural una vez que todas las inversiones de la inversionista hayan sido liquidadas en su totalidad.</w:t>
      </w:r>
    </w:p>
    <w:p w:rsidR="00000000" w:rsidDel="00000000" w:rsidP="00000000" w:rsidRDefault="00000000" w:rsidRPr="00000000" w14:paraId="00000071">
      <w:pPr>
        <w:spacing w:line="360" w:lineRule="auto"/>
        <w:jc w:val="both"/>
        <w:rPr/>
      </w:pPr>
      <w:r w:rsidDel="00000000" w:rsidR="00000000" w:rsidRPr="00000000">
        <w:rPr>
          <w:rtl w:val="0"/>
        </w:rPr>
        <w:t xml:space="preserve">Sin perjuicio de lo anterior, las partes podrán dar por terminado el Contrato de forma anticipada conforme a los siguientes escenarios</w:t>
      </w:r>
    </w:p>
    <w:p w:rsidR="00000000" w:rsidDel="00000000" w:rsidP="00000000" w:rsidRDefault="00000000" w:rsidRPr="00000000" w14:paraId="00000072">
      <w:pPr>
        <w:spacing w:line="360" w:lineRule="auto"/>
        <w:jc w:val="both"/>
        <w:rPr/>
      </w:pP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8020"/>
        <w:tblGridChange w:id="0">
          <w:tblGrid>
            <w:gridCol w:w="1700"/>
            <w:gridCol w:w="8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a5fa8" w:val="clear"/>
            <w:tcMar>
              <w:top w:w="120.0" w:type="dxa"/>
              <w:left w:w="160.0" w:type="dxa"/>
              <w:bottom w:w="120.0" w:type="dxa"/>
              <w:right w:w="160.0" w:type="dxa"/>
            </w:tcMar>
            <w:vAlign w:val="center"/>
          </w:tcPr>
          <w:p w:rsidR="00000000" w:rsidDel="00000000" w:rsidP="00000000" w:rsidRDefault="00000000" w:rsidRPr="00000000" w14:paraId="00000073">
            <w:pPr>
              <w:spacing w:line="360" w:lineRule="auto"/>
              <w:jc w:val="both"/>
              <w:rPr/>
            </w:pPr>
            <w:r w:rsidDel="00000000" w:rsidR="00000000" w:rsidRPr="00000000">
              <w:rPr>
                <w:b w:val="1"/>
                <w:bCs w:val="1"/>
                <w:color w:val="ffffff"/>
                <w:rtl w:val="0"/>
              </w:rPr>
              <w:t xml:space="preserve">Escenario A Salida voluntaria</w:t>
            </w:r>
            <w:r w:rsidDel="00000000" w:rsidR="00000000" w:rsidRPr="00000000">
              <w:rPr>
                <w:rtl w:val="0"/>
              </w:rPr>
            </w:r>
          </w:p>
        </w:tc>
        <w:tc>
          <w:tcPr>
            <w:tcBorders>
              <w:top w:color="ddddf5" w:space="0" w:sz="4" w:val="single"/>
              <w:left w:color="000000" w:space="0" w:sz="0" w:val="nil"/>
              <w:bottom w:color="ddddf5" w:space="0" w:sz="4" w:val="single"/>
              <w:right w:color="ddddf5" w:space="0" w:sz="4" w:val="single"/>
            </w:tcBorders>
            <w:shd w:fill="f8f8fc" w:val="clear"/>
            <w:tcMar>
              <w:top w:w="120.0" w:type="dxa"/>
              <w:left w:w="200.0" w:type="dxa"/>
              <w:bottom w:w="120.0" w:type="dxa"/>
              <w:right w:w="160.0" w:type="dxa"/>
            </w:tcMar>
          </w:tcPr>
          <w:p w:rsidR="00000000" w:rsidDel="00000000" w:rsidP="00000000" w:rsidRDefault="00000000" w:rsidRPr="00000000" w14:paraId="00000074">
            <w:pPr>
              <w:spacing w:line="360" w:lineRule="auto"/>
              <w:jc w:val="both"/>
              <w:rPr/>
            </w:pPr>
            <w:r w:rsidDel="00000000" w:rsidR="00000000" w:rsidRPr="00000000">
              <w:rPr>
                <w:rtl w:val="0"/>
              </w:rPr>
              <w:t xml:space="preserve">La inversionista podrá solicitar la terminación del Contrato en cualquier momento mediante notificación escrita. Cube realizará sus mejores esfuerzos para colocar la cartera activa de la inversionista mediante cesión a otro inversionista dentro de noventa días desde la notificación, informando al Inversionista de forma mensual sobre el avance. La imposibilidad de devolución inmediata es inherente a la naturaleza de los créditos y no constituye incumplimiento. Sin penalidad.</w:t>
            </w:r>
          </w:p>
        </w:tc>
      </w:tr>
    </w:tbl>
    <w:p w:rsidR="00000000" w:rsidDel="00000000" w:rsidP="00000000" w:rsidRDefault="00000000" w:rsidRPr="00000000" w14:paraId="00000075">
      <w:pPr>
        <w:spacing w:line="360" w:lineRule="auto"/>
        <w:jc w:val="both"/>
        <w:rPr/>
      </w:pPr>
      <w:r w:rsidDel="00000000" w:rsidR="00000000" w:rsidRPr="00000000">
        <w:rPr>
          <w:rtl w:val="0"/>
        </w:rPr>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8020"/>
        <w:tblGridChange w:id="0">
          <w:tblGrid>
            <w:gridCol w:w="1700"/>
            <w:gridCol w:w="8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3a8" w:val="clear"/>
            <w:tcMar>
              <w:top w:w="120.0" w:type="dxa"/>
              <w:left w:w="160.0" w:type="dxa"/>
              <w:bottom w:w="120.0" w:type="dxa"/>
              <w:right w:w="160.0" w:type="dxa"/>
            </w:tcMar>
            <w:vAlign w:val="center"/>
          </w:tcPr>
          <w:p w:rsidR="00000000" w:rsidDel="00000000" w:rsidP="00000000" w:rsidRDefault="00000000" w:rsidRPr="00000000" w14:paraId="00000076">
            <w:pPr>
              <w:spacing w:line="360" w:lineRule="auto"/>
              <w:jc w:val="both"/>
              <w:rPr/>
            </w:pPr>
            <w:r w:rsidDel="00000000" w:rsidR="00000000" w:rsidRPr="00000000">
              <w:rPr>
                <w:b w:val="1"/>
                <w:bCs w:val="1"/>
                <w:color w:val="ffffff"/>
                <w:rtl w:val="0"/>
              </w:rPr>
              <w:t xml:space="preserve">Escenario B Traslado a otro admin.</w:t>
            </w:r>
            <w:r w:rsidDel="00000000" w:rsidR="00000000" w:rsidRPr="00000000">
              <w:rPr>
                <w:rtl w:val="0"/>
              </w:rPr>
            </w:r>
          </w:p>
        </w:tc>
        <w:tc>
          <w:tcPr>
            <w:tcBorders>
              <w:top w:color="ddddf5" w:space="0" w:sz="4" w:val="single"/>
              <w:left w:color="000000" w:space="0" w:sz="0" w:val="nil"/>
              <w:bottom w:color="ddddf5" w:space="0" w:sz="4" w:val="single"/>
              <w:right w:color="ddddf5" w:space="0" w:sz="4" w:val="single"/>
            </w:tcBorders>
            <w:shd w:fill="f8f8fc" w:val="clear"/>
            <w:tcMar>
              <w:top w:w="120.0" w:type="dxa"/>
              <w:left w:w="200.0" w:type="dxa"/>
              <w:bottom w:w="120.0" w:type="dxa"/>
              <w:right w:w="160.0" w:type="dxa"/>
            </w:tcMar>
          </w:tcPr>
          <w:p w:rsidR="00000000" w:rsidDel="00000000" w:rsidP="00000000" w:rsidRDefault="00000000" w:rsidRPr="00000000" w14:paraId="00000077">
            <w:pPr>
              <w:spacing w:line="360" w:lineRule="auto"/>
              <w:jc w:val="both"/>
              <w:rPr/>
            </w:pPr>
            <w:r w:rsidDel="00000000" w:rsidR="00000000" w:rsidRPr="00000000">
              <w:rPr>
                <w:rtl w:val="0"/>
              </w:rPr>
              <w:t xml:space="preserve">Si la inversionista decide trasladar la administración de su cartera a un tercero distinto de Cube, se aplicará una compensación equivalente al cien por ciento (100%) de los honorarios proyectados pendientes sobre el saldo de cartera activa a la fecha de terminación. Dicha compensación será la única exigible por este concepto, sin perjuicio de los honorarios ya devengados.</w:t>
            </w:r>
          </w:p>
        </w:tc>
      </w:tr>
    </w:tbl>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ind w:left="200" w:firstLine="0"/>
        <w:jc w:val="both"/>
        <w:rPr/>
      </w:pPr>
      <w:r w:rsidDel="00000000" w:rsidR="00000000" w:rsidRPr="00000000">
        <w:rPr>
          <w:b w:val="1"/>
          <w:bCs w:val="1"/>
          <w:rtl w:val="0"/>
        </w:rPr>
        <w:t xml:space="preserve">Disposiciones comunes</w:t>
      </w:r>
      <w:r w:rsidDel="00000000" w:rsidR="00000000" w:rsidRPr="00000000">
        <w:rPr>
          <w:rtl w:val="0"/>
        </w:rPr>
      </w:r>
    </w:p>
    <w:p w:rsidR="00000000" w:rsidDel="00000000" w:rsidP="00000000" w:rsidRDefault="00000000" w:rsidRPr="00000000" w14:paraId="0000007A">
      <w:pPr>
        <w:spacing w:line="360" w:lineRule="auto"/>
        <w:jc w:val="both"/>
        <w:rPr/>
      </w:pPr>
      <w:r w:rsidDel="00000000" w:rsidR="00000000" w:rsidRPr="00000000">
        <w:rPr>
          <w:rtl w:val="0"/>
        </w:rPr>
        <w:t xml:space="preserve">Al momento de la terminación, Cube elaborará y remitirá al Inversionista una liquidación final detallando saldos de capital, intereses, pagos recibidos, honorarios cobrados y obligaciones en trámite.</w:t>
      </w:r>
    </w:p>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spacing w:line="360" w:lineRule="auto"/>
        <w:jc w:val="both"/>
        <w:rPr/>
      </w:pPr>
      <w:r w:rsidDel="00000000" w:rsidR="00000000" w:rsidRPr="00000000">
        <w:rPr>
          <w:rtl w:val="0"/>
        </w:rPr>
        <w:t xml:space="preserve">Cube conservará la facultad de continuar con la gestión de cobros y ejecución de garantías que se encuentren en trámite al momento de la terminación, hasta su total conclusión, sin que ello implique renovación del Contrato.</w:t>
      </w:r>
    </w:p>
    <w:p w:rsidR="00000000" w:rsidDel="00000000" w:rsidP="00000000" w:rsidRDefault="00000000" w:rsidRPr="00000000" w14:paraId="0000007D">
      <w:pPr>
        <w:spacing w:line="360" w:lineRule="auto"/>
        <w:jc w:val="both"/>
        <w:rPr/>
      </w:pPr>
      <w:r w:rsidDel="00000000" w:rsidR="00000000" w:rsidRPr="00000000">
        <w:rPr>
          <w:rtl w:val="0"/>
        </w:rPr>
      </w:r>
    </w:p>
    <w:p w:rsidR="00000000" w:rsidDel="00000000" w:rsidP="00000000" w:rsidRDefault="00000000" w:rsidRPr="00000000" w14:paraId="0000007E">
      <w:pPr>
        <w:spacing w:line="360" w:lineRule="auto"/>
        <w:jc w:val="both"/>
        <w:rPr/>
      </w:pPr>
      <w:r w:rsidDel="00000000" w:rsidR="00000000" w:rsidRPr="00000000">
        <w:rPr>
          <w:rtl w:val="0"/>
        </w:rPr>
        <w:t xml:space="preserve">Las obligaciones de confidencialidad, fiscales y cualquier responsabilidad pendiente subsistirán después de la terminación del Contrato.</w:t>
      </w:r>
    </w:p>
    <w:p w:rsidR="00000000" w:rsidDel="00000000" w:rsidP="00000000" w:rsidRDefault="00000000" w:rsidRPr="00000000" w14:paraId="0000007F">
      <w:pPr>
        <w:spacing w:line="360" w:lineRule="auto"/>
        <w:jc w:val="both"/>
        <w:rPr/>
      </w:pPr>
      <w:r w:rsidDel="00000000" w:rsidR="00000000" w:rsidRPr="00000000">
        <w:rPr>
          <w:rtl w:val="0"/>
        </w:rPr>
      </w:r>
    </w:p>
    <w:tbl>
      <w:tblPr>
        <w:tblStyle w:val="Table1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80">
            <w:pPr>
              <w:spacing w:line="360" w:lineRule="auto"/>
              <w:jc w:val="both"/>
              <w:rPr/>
            </w:pPr>
            <w:r w:rsidDel="00000000" w:rsidR="00000000" w:rsidRPr="00000000">
              <w:rPr>
                <w:b w:val="1"/>
                <w:bCs w:val="1"/>
                <w:color w:val="ffffff"/>
                <w:rtl w:val="0"/>
              </w:rPr>
              <w:t xml:space="preserve">OCTAVA — Obligaciones fiscales</w:t>
            </w:r>
            <w:r w:rsidDel="00000000" w:rsidR="00000000" w:rsidRPr="00000000">
              <w:rPr>
                <w:rtl w:val="0"/>
              </w:rPr>
            </w:r>
          </w:p>
        </w:tc>
      </w:tr>
    </w:tbl>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t xml:space="preserve">Las partes reconocen que los montos generados por la participación de la inversionista están sujetos al régimen fiscal aplicable en la República de Guatemala. Al momento de la suscripción del presente Contrato, la inversionista deberá optar por una de las siguientes figuras fiscales, la cual quedará consignada en el instrumento correspondiente y podrá modificarse únicamente mediante addendum suscrito por ambas partes:</w:t>
      </w:r>
    </w:p>
    <w:p w:rsidR="00000000" w:rsidDel="00000000" w:rsidP="00000000" w:rsidRDefault="00000000" w:rsidRPr="00000000" w14:paraId="00000083">
      <w:pPr>
        <w:spacing w:line="360" w:lineRule="auto"/>
        <w:jc w:val="both"/>
        <w:rPr>
          <w:b w:val="1"/>
          <w:bCs w:val="1"/>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b w:val="1"/>
          <w:bCs w:val="1"/>
          <w:rtl w:val="0"/>
        </w:rPr>
        <w:t xml:space="preserve">Figura 1 — Facturación directa a cada deudor</w:t>
      </w: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t xml:space="preserve">La inversionista emitirá una factura individual a cada deudor por la proporción que le corresponda, dentro de los cinco días hábiles siguientes a cada liquidación mensual. Cube facilitará los datos necesarios de cada deudor. la inversionista asume íntegramente su cumplimiento fiscal, sin responsabilidad alguna para Cube.</w:t>
      </w:r>
    </w:p>
    <w:p w:rsidR="00000000" w:rsidDel="00000000" w:rsidP="00000000" w:rsidRDefault="00000000" w:rsidRPr="00000000" w14:paraId="00000086">
      <w:pPr>
        <w:spacing w:line="360" w:lineRule="auto"/>
        <w:jc w:val="both"/>
        <w:rPr/>
      </w:pPr>
      <w:r w:rsidDel="00000000" w:rsidR="00000000" w:rsidRPr="00000000">
        <w:rPr>
          <w:b w:val="1"/>
          <w:bCs w:val="1"/>
          <w:rtl w:val="0"/>
        </w:rPr>
        <w:t xml:space="preserve">Figura 2 — Facturación consolidada a Cube</w:t>
      </w:r>
      <w:r w:rsidDel="00000000" w:rsidR="00000000" w:rsidRPr="00000000">
        <w:rPr>
          <w:rtl w:val="0"/>
        </w:rPr>
      </w:r>
    </w:p>
    <w:p w:rsidR="00000000" w:rsidDel="00000000" w:rsidP="00000000" w:rsidRDefault="00000000" w:rsidRPr="00000000" w14:paraId="00000087">
      <w:pPr>
        <w:spacing w:line="360" w:lineRule="auto"/>
        <w:jc w:val="both"/>
        <w:rPr/>
      </w:pPr>
      <w:r w:rsidDel="00000000" w:rsidR="00000000" w:rsidRPr="00000000">
        <w:rPr>
          <w:rtl w:val="0"/>
        </w:rPr>
        <w:t xml:space="preserve">La inversionista emitirá una sola factura mensual a favor de Cube Investments, S.A. por el total de sus rendimientos, dentro de los cinco días hábiles siguientes a cada liquidación. Cube retendrá y enterará a la SAT el impuesto aplicable, transfiriendo al Inversionista el monto neto resultante.</w:t>
      </w:r>
    </w:p>
    <w:p w:rsidR="00000000" w:rsidDel="00000000" w:rsidP="00000000" w:rsidRDefault="00000000" w:rsidRPr="00000000" w14:paraId="00000088">
      <w:pPr>
        <w:spacing w:line="360" w:lineRule="auto"/>
        <w:jc w:val="both"/>
        <w:rPr/>
      </w:pPr>
      <w:r w:rsidDel="00000000" w:rsidR="00000000" w:rsidRPr="00000000">
        <w:rPr>
          <w:b w:val="1"/>
          <w:bCs w:val="1"/>
          <w:rtl w:val="0"/>
        </w:rPr>
        <w:t xml:space="preserve">Figura 3 — Facturación consolidada a Cube bajo régimen de pequeño contribuyente</w:t>
      </w:r>
      <w:r w:rsidDel="00000000" w:rsidR="00000000" w:rsidRPr="00000000">
        <w:rPr>
          <w:rtl w:val="0"/>
        </w:rPr>
      </w:r>
    </w:p>
    <w:p w:rsidR="00000000" w:rsidDel="00000000" w:rsidP="00000000" w:rsidRDefault="00000000" w:rsidRPr="00000000" w14:paraId="00000089">
      <w:pPr>
        <w:spacing w:line="360" w:lineRule="auto"/>
        <w:jc w:val="both"/>
        <w:rPr/>
      </w:pPr>
      <w:r w:rsidDel="00000000" w:rsidR="00000000" w:rsidRPr="00000000">
        <w:rPr>
          <w:rtl w:val="0"/>
        </w:rPr>
        <w:t xml:space="preserve">Aplicará la misma forma mencionada en la Figura 2, bajo el régimen de pequeño contribuyente de la inversionista. Cube retendrá y enterará al SAT el impuesto aplicable, transfiriendo al Inversionista el monto neto resultante.</w:t>
      </w:r>
    </w:p>
    <w:p w:rsidR="00000000" w:rsidDel="00000000" w:rsidP="00000000" w:rsidRDefault="00000000" w:rsidRPr="00000000" w14:paraId="0000008A">
      <w:pPr>
        <w:spacing w:line="360" w:lineRule="auto"/>
        <w:jc w:val="both"/>
        <w:rPr/>
      </w:pPr>
      <w:r w:rsidDel="00000000" w:rsidR="00000000" w:rsidRPr="00000000">
        <w:rPr>
          <w:rtl w:val="0"/>
        </w:rPr>
      </w:r>
    </w:p>
    <w:p w:rsidR="00000000" w:rsidDel="00000000" w:rsidP="00000000" w:rsidRDefault="00000000" w:rsidRPr="00000000" w14:paraId="0000008B">
      <w:pPr>
        <w:spacing w:line="360" w:lineRule="auto"/>
        <w:jc w:val="both"/>
        <w:rPr/>
      </w:pPr>
      <w:r w:rsidDel="00000000" w:rsidR="00000000" w:rsidRPr="00000000">
        <w:rPr>
          <w:b w:val="1"/>
          <w:bCs w:val="1"/>
          <w:rtl w:val="0"/>
        </w:rPr>
        <w:t xml:space="preserve">Disposiciones comunes</w:t>
      </w: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t xml:space="preserve">La emisión oportuna de la factura correspondiente es una obligación de la inversionista. Su incumplimiento facultará a Cube a retener el pago de la siguiente liquidación hasta la regularización, sin que ello constituya incumplimiento de Cube.</w:t>
      </w:r>
    </w:p>
    <w:p w:rsidR="00000000" w:rsidDel="00000000" w:rsidP="00000000" w:rsidRDefault="00000000" w:rsidRPr="00000000" w14:paraId="0000008D">
      <w:pPr>
        <w:spacing w:line="360" w:lineRule="auto"/>
        <w:jc w:val="both"/>
        <w:rPr/>
      </w:pPr>
      <w:r w:rsidDel="00000000" w:rsidR="00000000" w:rsidRPr="00000000">
        <w:rPr>
          <w:rtl w:val="0"/>
        </w:rPr>
        <w:t xml:space="preserve">La inversionista facturará exclusivamente bajo el régimen fiscal declarado al inicio de la relación contractual. La emisión de facturas bajo un régimen distinto al declarado, o la reincidencia en el incumplimiento de facturación, facultará a Cube a ajustar la tasa que estuviere vigente de retorno como penalidad y a exigir la regularización tributaria de la inversionista ante la SAT como condición para la reanudación normal de liquidaciones. En cualquier caso, la inversionista mantendrá indemne a Cube de toda consecuencia fiscal derivada de su incumplimiento.</w:t>
      </w:r>
    </w:p>
    <w:p w:rsidR="00000000" w:rsidDel="00000000" w:rsidP="00000000" w:rsidRDefault="00000000" w:rsidRPr="00000000" w14:paraId="0000008E">
      <w:pPr>
        <w:spacing w:line="360" w:lineRule="auto"/>
        <w:jc w:val="both"/>
        <w:rPr/>
      </w:pPr>
      <w:r w:rsidDel="00000000" w:rsidR="00000000" w:rsidRPr="00000000">
        <w:rPr>
          <w:rtl w:val="0"/>
        </w:rPr>
        <w:t xml:space="preserve">Todo cambio de régimen fiscal deberá notificarse a Cube por escrito con al menos quince días de anticipación, adjuntando la constancia de inscripción emitida por la SAT. Cube no reconocerá facturas bajo el nuevo régimen hasta recibir dicha documentación.</w:t>
      </w:r>
    </w:p>
    <w:p w:rsidR="00000000" w:rsidDel="00000000" w:rsidP="00000000" w:rsidRDefault="00000000" w:rsidRPr="00000000" w14:paraId="0000008F">
      <w:pPr>
        <w:spacing w:line="360" w:lineRule="auto"/>
        <w:jc w:val="both"/>
        <w:rPr/>
      </w:pPr>
      <w:r w:rsidDel="00000000" w:rsidR="00000000" w:rsidRPr="00000000">
        <w:rPr>
          <w:rtl w:val="0"/>
        </w:rPr>
        <w:t xml:space="preserve">Cube facturará mensualmente sus propios servicios de administración conforme a la legislación fiscal aplicable.</w:t>
      </w:r>
    </w:p>
    <w:p w:rsidR="00000000" w:rsidDel="00000000" w:rsidP="00000000" w:rsidRDefault="00000000" w:rsidRPr="00000000" w14:paraId="00000090">
      <w:pPr>
        <w:spacing w:line="360" w:lineRule="auto"/>
        <w:jc w:val="both"/>
        <w:rPr/>
      </w:pPr>
      <w:r w:rsidDel="00000000" w:rsidR="00000000" w:rsidRPr="00000000">
        <w:rPr>
          <w:rtl w:val="0"/>
        </w:rPr>
      </w:r>
    </w:p>
    <w:p w:rsidR="00000000" w:rsidDel="00000000" w:rsidP="00000000" w:rsidRDefault="00000000" w:rsidRPr="00000000" w14:paraId="00000091">
      <w:pPr>
        <w:spacing w:line="360" w:lineRule="auto"/>
        <w:jc w:val="both"/>
        <w:rPr/>
      </w:pPr>
      <w:r w:rsidDel="00000000" w:rsidR="00000000" w:rsidRPr="00000000">
        <w:rPr>
          <w:rtl w:val="0"/>
        </w:rPr>
        <w:t xml:space="preserve">La inversionista reconoce que la figura fiscal elegida puede incidir en la tasa de retorno efectiva acordada. En consecuencia, cualquier cambio de figura fiscal o de régimen tributario podrá conllevar una modificación en la tasa de retorno aplicable, la cual será notificada por el participante hacia Cube con al menos quince días de anticipación con el propósito de que se le haga saber la tasa vigente para dicho régimen. La inversionista acepta expresamente esta condición y declara que dicha modificación no constituirá incumplimiento de Cube ni generará responsabilidad alguna a su cargo.</w:t>
      </w:r>
    </w:p>
    <w:p w:rsidR="00000000" w:rsidDel="00000000" w:rsidP="00000000" w:rsidRDefault="00000000" w:rsidRPr="00000000" w14:paraId="00000092">
      <w:pPr>
        <w:spacing w:line="360" w:lineRule="auto"/>
        <w:jc w:val="both"/>
        <w:rPr/>
      </w:pPr>
      <w:r w:rsidDel="00000000" w:rsidR="00000000" w:rsidRPr="00000000">
        <w:rPr>
          <w:rtl w:val="0"/>
        </w:rPr>
      </w:r>
    </w:p>
    <w:tbl>
      <w:tblPr>
        <w:tblStyle w:val="Table1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93">
            <w:pPr>
              <w:spacing w:line="360" w:lineRule="auto"/>
              <w:jc w:val="both"/>
              <w:rPr/>
            </w:pPr>
            <w:r w:rsidDel="00000000" w:rsidR="00000000" w:rsidRPr="00000000">
              <w:rPr>
                <w:b w:val="1"/>
                <w:bCs w:val="1"/>
                <w:color w:val="ffffff"/>
                <w:rtl w:val="0"/>
              </w:rPr>
              <w:t xml:space="preserve">NOVENA — Confidencialidad</w:t>
            </w:r>
            <w:r w:rsidDel="00000000" w:rsidR="00000000" w:rsidRPr="00000000">
              <w:rPr>
                <w:rtl w:val="0"/>
              </w:rPr>
            </w:r>
          </w:p>
        </w:tc>
      </w:tr>
    </w:tbl>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t xml:space="preserve">Toda información a la que las partes tengan acceso en virtud del presente Contrato será considerada estrictamente confidencial, incluyendo sin limitación datos financieros, comerciales y personales de la inversionista y de los deudores, términos y condiciones de las inversiones, estados de cuenta, registros, metodologías y estrategias de Cube.</w:t>
      </w:r>
    </w:p>
    <w:p w:rsidR="00000000" w:rsidDel="00000000" w:rsidP="00000000" w:rsidRDefault="00000000" w:rsidRPr="00000000" w14:paraId="00000096">
      <w:pPr>
        <w:spacing w:line="360" w:lineRule="auto"/>
        <w:jc w:val="both"/>
        <w:rPr/>
      </w:pPr>
      <w:r w:rsidDel="00000000" w:rsidR="00000000" w:rsidRPr="00000000">
        <w:rPr>
          <w:rtl w:val="0"/>
        </w:rPr>
      </w:r>
    </w:p>
    <w:p w:rsidR="00000000" w:rsidDel="00000000" w:rsidP="00000000" w:rsidRDefault="00000000" w:rsidRPr="00000000" w14:paraId="00000097">
      <w:pPr>
        <w:spacing w:line="360" w:lineRule="auto"/>
        <w:jc w:val="both"/>
        <w:rPr/>
      </w:pPr>
      <w:r w:rsidDel="00000000" w:rsidR="00000000" w:rsidRPr="00000000">
        <w:rPr>
          <w:rtl w:val="0"/>
        </w:rPr>
        <w:t xml:space="preserve">La inversionista se obliga a no divulgar ni compartir dicha información con terceros, salvo autorización expresa y por escrito de Cube, o cuando la divulgación sea requerida por ley, autoridad competente o resolución judicial. Se exceptúa de esta restricción la consulta con el contador, abogado o asesor financiero personal de la inversionista, quienes quedarán sujetos a la misma obligación de confidencialidad.</w:t>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t xml:space="preserve">La inversionista se obliga asimismo a no utilizar la información confidencial para desarrollar, directa o indirectamente, actividades o negocios que compitan con los de Cube.</w:t>
      </w:r>
    </w:p>
    <w:p w:rsidR="00000000" w:rsidDel="00000000" w:rsidP="00000000" w:rsidRDefault="00000000" w:rsidRPr="00000000" w14:paraId="0000009A">
      <w:pPr>
        <w:spacing w:line="360" w:lineRule="auto"/>
        <w:jc w:val="both"/>
        <w:rPr/>
      </w:pP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rtl w:val="0"/>
        </w:rPr>
        <w:t xml:space="preserve">La obligación de confidencialidad subsistirá indefinidamente después de la terminación del Contrato. Su incumplimiento facultará a Cube a reclamar los daños y perjuicios ocasionados y a ejercer las acciones legales que correspondan.</w:t>
      </w:r>
    </w:p>
    <w:p w:rsidR="00000000" w:rsidDel="00000000" w:rsidP="00000000" w:rsidRDefault="00000000" w:rsidRPr="00000000" w14:paraId="0000009C">
      <w:pPr>
        <w:spacing w:line="360" w:lineRule="auto"/>
        <w:jc w:val="both"/>
        <w:rPr/>
      </w:pPr>
      <w:r w:rsidDel="00000000" w:rsidR="00000000" w:rsidRPr="00000000">
        <w:rPr>
          <w:rtl w:val="0"/>
        </w:rPr>
      </w:r>
    </w:p>
    <w:tbl>
      <w:tblPr>
        <w:tblStyle w:val="Table1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9D">
            <w:pPr>
              <w:spacing w:line="360" w:lineRule="auto"/>
              <w:jc w:val="both"/>
              <w:rPr/>
            </w:pPr>
            <w:r w:rsidDel="00000000" w:rsidR="00000000" w:rsidRPr="00000000">
              <w:rPr>
                <w:b w:val="1"/>
                <w:bCs w:val="1"/>
                <w:color w:val="ffffff"/>
                <w:rtl w:val="0"/>
              </w:rPr>
              <w:t xml:space="preserve">DÉCIMA — Limitación de responsabilidad</w:t>
            </w:r>
            <w:r w:rsidDel="00000000" w:rsidR="00000000" w:rsidRPr="00000000">
              <w:rPr>
                <w:rtl w:val="0"/>
              </w:rPr>
            </w:r>
          </w:p>
        </w:tc>
      </w:tr>
    </w:tbl>
    <w:p w:rsidR="00000000" w:rsidDel="00000000" w:rsidP="00000000" w:rsidRDefault="00000000" w:rsidRPr="00000000" w14:paraId="0000009E">
      <w:pPr>
        <w:spacing w:line="360" w:lineRule="auto"/>
        <w:jc w:val="both"/>
        <w:rPr/>
      </w:pPr>
      <w:r w:rsidDel="00000000" w:rsidR="00000000" w:rsidRPr="00000000">
        <w:rPr>
          <w:rtl w:val="0"/>
        </w:rPr>
      </w:r>
    </w:p>
    <w:p w:rsidR="00000000" w:rsidDel="00000000" w:rsidP="00000000" w:rsidRDefault="00000000" w:rsidRPr="00000000" w14:paraId="0000009F">
      <w:pPr>
        <w:spacing w:line="360" w:lineRule="auto"/>
        <w:jc w:val="both"/>
        <w:rPr/>
      </w:pPr>
      <w:r w:rsidDel="00000000" w:rsidR="00000000" w:rsidRPr="00000000">
        <w:rPr>
          <w:rtl w:val="0"/>
        </w:rPr>
        <w:t xml:space="preserve">Cube se compromete a administrar diligentemente las inversiones de la inversionista, conforme a los estándares establecidos en el presente Contrato.</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t xml:space="preserve">La inversionista reconoce que las inversiones realizadas a través de la Plataforma CASH IN están respaldadas por activos reales — vehículos bajo titularidad registral de RDBE, Sociedad Anónima, con garantía mobiliaria inscrita — lo que mitiga los riesgos inherentes a toda inversión en instrumentos de crédito. No obstante, factores externos como el comportamiento individual de los deudores, condiciones de mercado o eventos fuera del control razonable de Cube pueden afectar el resultado de inversiones individuales sin generar responsabilidad para Cube.</w:t>
      </w:r>
    </w:p>
    <w:p w:rsidR="00000000" w:rsidDel="00000000" w:rsidP="00000000" w:rsidRDefault="00000000" w:rsidRPr="00000000" w14:paraId="000000A2">
      <w:pPr>
        <w:spacing w:line="360" w:lineRule="auto"/>
        <w:jc w:val="both"/>
        <w:rPr/>
      </w:pP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rtl w:val="0"/>
        </w:rPr>
        <w:t xml:space="preserve">En consecuencia, la inversionista mantendrá indemnes a Cube, RDBE, Sociedad Anónima, sus representantes y empresas relacionadas, frente a reclamaciones, daños o gastos que se deriven directamente del incumplimiento o insolvencia de los deudores, o de eventos de caso fortuito o fuerza mayor.</w:t>
      </w:r>
    </w:p>
    <w:p w:rsidR="00000000" w:rsidDel="00000000" w:rsidP="00000000" w:rsidRDefault="00000000" w:rsidRPr="00000000" w14:paraId="000000A4">
      <w:pPr>
        <w:spacing w:line="360" w:lineRule="auto"/>
        <w:jc w:val="both"/>
        <w:rPr/>
      </w:pPr>
      <w:r w:rsidDel="00000000" w:rsidR="00000000" w:rsidRPr="00000000">
        <w:rPr>
          <w:rtl w:val="0"/>
        </w:rPr>
      </w:r>
    </w:p>
    <w:p w:rsidR="00000000" w:rsidDel="00000000" w:rsidP="00000000" w:rsidRDefault="00000000" w:rsidRPr="00000000" w14:paraId="000000A5">
      <w:pPr>
        <w:spacing w:line="360" w:lineRule="auto"/>
        <w:jc w:val="both"/>
        <w:rPr/>
      </w:pPr>
      <w:r w:rsidDel="00000000" w:rsidR="00000000" w:rsidRPr="00000000">
        <w:rPr>
          <w:rtl w:val="0"/>
        </w:rPr>
        <w:t xml:space="preserve">Cube responderá frente al Inversionista exclusivamente en caso de dolo o negligencia grave debidamente comprobada en la administración de las inversiones, conforme a los límites establecidos en el Código Civil de Guatemala. Salvo dicho supuesto, la responsabilidad de Cube no se extenderá a daños indirectos o consecuenciales, incluyendo lucro cesante, incobrabilidad de intereses o pérdida de garantías.</w:t>
      </w:r>
    </w:p>
    <w:p w:rsidR="00000000" w:rsidDel="00000000" w:rsidP="00000000" w:rsidRDefault="00000000" w:rsidRPr="00000000" w14:paraId="000000A6">
      <w:pPr>
        <w:spacing w:line="360" w:lineRule="auto"/>
        <w:jc w:val="both"/>
        <w:rPr/>
      </w:pPr>
      <w:r w:rsidDel="00000000" w:rsidR="00000000" w:rsidRPr="00000000">
        <w:rPr>
          <w:rtl w:val="0"/>
        </w:rPr>
      </w:r>
    </w:p>
    <w:tbl>
      <w:tblPr>
        <w:tblStyle w:val="Table1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A7">
            <w:pPr>
              <w:spacing w:line="360" w:lineRule="auto"/>
              <w:jc w:val="both"/>
              <w:rPr/>
            </w:pPr>
            <w:r w:rsidDel="00000000" w:rsidR="00000000" w:rsidRPr="00000000">
              <w:rPr>
                <w:b w:val="1"/>
                <w:bCs w:val="1"/>
                <w:color w:val="ffffff"/>
                <w:rtl w:val="0"/>
              </w:rPr>
              <w:t xml:space="preserve">DÉCIMA PRIMERA — Resolución de conflictos</w:t>
            </w:r>
            <w:r w:rsidDel="00000000" w:rsidR="00000000" w:rsidRPr="00000000">
              <w:rPr>
                <w:rtl w:val="0"/>
              </w:rPr>
            </w:r>
          </w:p>
        </w:tc>
      </w:tr>
    </w:tbl>
    <w:p w:rsidR="00000000" w:rsidDel="00000000" w:rsidP="00000000" w:rsidRDefault="00000000" w:rsidRPr="00000000" w14:paraId="000000A8">
      <w:pPr>
        <w:spacing w:line="360" w:lineRule="auto"/>
        <w:jc w:val="both"/>
        <w:rPr/>
      </w:pPr>
      <w:r w:rsidDel="00000000" w:rsidR="00000000" w:rsidRPr="00000000">
        <w:rPr>
          <w:rtl w:val="0"/>
        </w:rPr>
      </w:r>
    </w:p>
    <w:p w:rsidR="00000000" w:rsidDel="00000000" w:rsidP="00000000" w:rsidRDefault="00000000" w:rsidRPr="00000000" w14:paraId="000000A9">
      <w:pPr>
        <w:spacing w:line="360" w:lineRule="auto"/>
        <w:jc w:val="both"/>
        <w:rPr/>
      </w:pPr>
      <w:r w:rsidDel="00000000" w:rsidR="00000000" w:rsidRPr="00000000">
        <w:rPr>
          <w:rtl w:val="0"/>
        </w:rPr>
        <w:t xml:space="preserve">Cualquier controversia, disputa o reclamación derivada del presente Contrato, incluyendo su interpretación, ejecución, terminación o incumplimiento, se resolverá conforme al siguiente procedimiento:</w:t>
      </w:r>
    </w:p>
    <w:p w:rsidR="00000000" w:rsidDel="00000000" w:rsidP="00000000" w:rsidRDefault="00000000" w:rsidRPr="00000000" w14:paraId="000000AA">
      <w:pPr>
        <w:spacing w:line="360" w:lineRule="auto"/>
        <w:jc w:val="both"/>
        <w:rPr/>
      </w:pPr>
      <w:r w:rsidDel="00000000" w:rsidR="00000000" w:rsidRPr="00000000">
        <w:rPr>
          <w:rtl w:val="0"/>
        </w:rPr>
      </w:r>
    </w:p>
    <w:p w:rsidR="00000000" w:rsidDel="00000000" w:rsidP="00000000" w:rsidRDefault="00000000" w:rsidRPr="00000000" w14:paraId="000000AB">
      <w:pPr>
        <w:spacing w:line="360" w:lineRule="auto"/>
        <w:jc w:val="both"/>
        <w:rPr/>
      </w:pPr>
      <w:r w:rsidDel="00000000" w:rsidR="00000000" w:rsidRPr="00000000">
        <w:rPr>
          <w:rtl w:val="0"/>
        </w:rPr>
        <w:t xml:space="preserve">Las partes intentarán resolver la controversia mediante negociación directa dentro de los treinta días calendario siguientes a la notificación del reclamo. Durante dicho plazo, las partes podrán designar de común acuerdo un mediador para facilitar la solución.</w:t>
      </w:r>
    </w:p>
    <w:p w:rsidR="00000000" w:rsidDel="00000000" w:rsidP="00000000" w:rsidRDefault="00000000" w:rsidRPr="00000000" w14:paraId="000000AC">
      <w:pPr>
        <w:spacing w:line="360" w:lineRule="auto"/>
        <w:jc w:val="both"/>
        <w:rPr/>
      </w:pPr>
      <w:r w:rsidDel="00000000" w:rsidR="00000000" w:rsidRPr="00000000">
        <w:rPr>
          <w:rtl w:val="0"/>
        </w:rPr>
      </w:r>
    </w:p>
    <w:p w:rsidR="00000000" w:rsidDel="00000000" w:rsidP="00000000" w:rsidRDefault="00000000" w:rsidRPr="00000000" w14:paraId="000000AD">
      <w:pPr>
        <w:spacing w:line="360" w:lineRule="auto"/>
        <w:jc w:val="both"/>
        <w:rPr/>
      </w:pPr>
      <w:r w:rsidDel="00000000" w:rsidR="00000000" w:rsidRPr="00000000">
        <w:rPr>
          <w:rtl w:val="0"/>
        </w:rPr>
        <w:t xml:space="preserve">Si transcurrido dicho plazo no se alcanza un acuerdo, las partes se someten a la jurisdicción de los Tribunales de Justicia Ordinarios del departamento de Guatemala.</w:t>
      </w:r>
    </w:p>
    <w:p w:rsidR="00000000" w:rsidDel="00000000" w:rsidP="00000000" w:rsidRDefault="00000000" w:rsidRPr="00000000" w14:paraId="000000AE">
      <w:pPr>
        <w:spacing w:line="360" w:lineRule="auto"/>
        <w:jc w:val="both"/>
        <w:rPr/>
      </w:pPr>
      <w:r w:rsidDel="00000000" w:rsidR="00000000" w:rsidRPr="00000000">
        <w:rPr>
          <w:rtl w:val="0"/>
        </w:rPr>
      </w:r>
    </w:p>
    <w:tbl>
      <w:tblPr>
        <w:tblStyle w:val="Table1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AF">
            <w:pPr>
              <w:spacing w:line="360" w:lineRule="auto"/>
              <w:jc w:val="both"/>
              <w:rPr/>
            </w:pPr>
            <w:r w:rsidDel="00000000" w:rsidR="00000000" w:rsidRPr="00000000">
              <w:rPr>
                <w:b w:val="1"/>
                <w:bCs w:val="1"/>
                <w:color w:val="ffffff"/>
                <w:rtl w:val="0"/>
              </w:rPr>
              <w:t xml:space="preserve">DÉCIMA SEGUNDA — Ley aplicable</w:t>
            </w:r>
            <w:r w:rsidDel="00000000" w:rsidR="00000000" w:rsidRPr="00000000">
              <w:rPr>
                <w:rtl w:val="0"/>
              </w:rPr>
            </w:r>
          </w:p>
        </w:tc>
      </w:tr>
    </w:tbl>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El presente Contrato se interpretará y regirá conforme a las leyes vigentes de la República de Guatemala. Para todo lo no regulado expresamente, se aplicarán de manera supletoria las disposiciones del Código Civil y del Código de Comercio de Guatemala que resulten compatibles con la naturaleza del presente instrumento.</w:t>
      </w:r>
    </w:p>
    <w:p w:rsidR="00000000" w:rsidDel="00000000" w:rsidP="00000000" w:rsidRDefault="00000000" w:rsidRPr="00000000" w14:paraId="000000B2">
      <w:pPr>
        <w:spacing w:line="360" w:lineRule="auto"/>
        <w:jc w:val="both"/>
        <w:rPr/>
      </w:pPr>
      <w:r w:rsidDel="00000000" w:rsidR="00000000" w:rsidRPr="00000000">
        <w:rPr>
          <w:rtl w:val="0"/>
        </w:rPr>
      </w:r>
    </w:p>
    <w:tbl>
      <w:tblPr>
        <w:tblStyle w:val="Table1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B3">
            <w:pPr>
              <w:spacing w:line="360" w:lineRule="auto"/>
              <w:jc w:val="both"/>
              <w:rPr/>
            </w:pPr>
            <w:r w:rsidDel="00000000" w:rsidR="00000000" w:rsidRPr="00000000">
              <w:rPr>
                <w:b w:val="1"/>
                <w:bCs w:val="1"/>
                <w:color w:val="ffffff"/>
                <w:rtl w:val="0"/>
              </w:rPr>
              <w:t xml:space="preserve">DÉCIMA TERCERA — Disposiciones generales</w:t>
            </w:r>
            <w:r w:rsidDel="00000000" w:rsidR="00000000" w:rsidRPr="00000000">
              <w:rPr>
                <w:rtl w:val="0"/>
              </w:rPr>
            </w:r>
          </w:p>
        </w:tc>
      </w:tr>
    </w:tbl>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Validez parcial</w:t>
      </w:r>
      <w:r w:rsidDel="00000000" w:rsidR="00000000" w:rsidRPr="00000000">
        <w:rPr>
          <w:rtl w:val="0"/>
        </w:rPr>
      </w:r>
    </w:p>
    <w:p w:rsidR="00000000" w:rsidDel="00000000" w:rsidP="00000000" w:rsidRDefault="00000000" w:rsidRPr="00000000" w14:paraId="000000B6">
      <w:pPr>
        <w:spacing w:line="360" w:lineRule="auto"/>
        <w:jc w:val="both"/>
        <w:rPr/>
      </w:pPr>
      <w:r w:rsidDel="00000000" w:rsidR="00000000" w:rsidRPr="00000000">
        <w:rPr>
          <w:rtl w:val="0"/>
        </w:rPr>
        <w:t xml:space="preserve">Si alguna disposición del presente Contrato fuera declarada nula o inválida, ello no afectará la validez del resto del documento, el cual continuará siendo plenamente vigente y obligatorio para ambas partes.</w:t>
      </w:r>
    </w:p>
    <w:p w:rsidR="00000000" w:rsidDel="00000000" w:rsidP="00000000" w:rsidRDefault="00000000" w:rsidRPr="00000000" w14:paraId="000000B7">
      <w:pPr>
        <w:spacing w:line="360" w:lineRule="auto"/>
        <w:jc w:val="both"/>
        <w:rPr/>
      </w:pPr>
      <w:r w:rsidDel="00000000" w:rsidR="00000000" w:rsidRPr="00000000">
        <w:rPr>
          <w:rtl w:val="0"/>
        </w:rPr>
      </w:r>
    </w:p>
    <w:p w:rsidR="00000000" w:rsidDel="00000000" w:rsidP="00000000" w:rsidRDefault="00000000" w:rsidRPr="00000000" w14:paraId="000000B8">
      <w:pPr>
        <w:spacing w:line="360" w:lineRule="auto"/>
        <w:ind w:left="200" w:firstLine="0"/>
        <w:jc w:val="both"/>
        <w:rPr/>
      </w:pPr>
      <w:r w:rsidDel="00000000" w:rsidR="00000000" w:rsidRPr="00000000">
        <w:rPr>
          <w:b w:val="1"/>
          <w:bCs w:val="1"/>
          <w:color w:val="5b4fcf"/>
          <w:rtl w:val="0"/>
        </w:rPr>
        <w:t xml:space="preserve">b)  </w:t>
      </w:r>
      <w:r w:rsidDel="00000000" w:rsidR="00000000" w:rsidRPr="00000000">
        <w:rPr>
          <w:b w:val="1"/>
          <w:bCs w:val="1"/>
          <w:rtl w:val="0"/>
        </w:rPr>
        <w:t xml:space="preserve">Modificaciones</w:t>
      </w:r>
      <w:r w:rsidDel="00000000" w:rsidR="00000000" w:rsidRPr="00000000">
        <w:rPr>
          <w:rtl w:val="0"/>
        </w:rPr>
      </w:r>
    </w:p>
    <w:p w:rsidR="00000000" w:rsidDel="00000000" w:rsidP="00000000" w:rsidRDefault="00000000" w:rsidRPr="00000000" w14:paraId="000000B9">
      <w:pPr>
        <w:spacing w:line="360" w:lineRule="auto"/>
        <w:jc w:val="both"/>
        <w:rPr/>
      </w:pPr>
      <w:r w:rsidDel="00000000" w:rsidR="00000000" w:rsidRPr="00000000">
        <w:rPr>
          <w:rtl w:val="0"/>
        </w:rPr>
        <w:t xml:space="preserve">Cualquier modificación al presente Contrato requerirá acuerdo escrito suscrito por ambas partes. Las condiciones comerciales establecidas en la cláusula sexta podrán actualizarse mediante addendum simple sin necesidad de modificar el resto del Contrato.</w:t>
      </w:r>
    </w:p>
    <w:p w:rsidR="00000000" w:rsidDel="00000000" w:rsidP="00000000" w:rsidRDefault="00000000" w:rsidRPr="00000000" w14:paraId="000000BA">
      <w:pPr>
        <w:spacing w:line="360" w:lineRule="auto"/>
        <w:jc w:val="both"/>
        <w:rPr/>
      </w:pPr>
      <w:r w:rsidDel="00000000" w:rsidR="00000000" w:rsidRPr="00000000">
        <w:rPr>
          <w:rtl w:val="0"/>
        </w:rPr>
      </w:r>
    </w:p>
    <w:p w:rsidR="00000000" w:rsidDel="00000000" w:rsidP="00000000" w:rsidRDefault="00000000" w:rsidRPr="00000000" w14:paraId="000000BB">
      <w:pPr>
        <w:spacing w:line="360" w:lineRule="auto"/>
        <w:ind w:left="200" w:firstLine="0"/>
        <w:jc w:val="both"/>
        <w:rPr/>
      </w:pPr>
      <w:r w:rsidDel="00000000" w:rsidR="00000000" w:rsidRPr="00000000">
        <w:rPr>
          <w:b w:val="1"/>
          <w:bCs w:val="1"/>
          <w:color w:val="5b4fcf"/>
          <w:rtl w:val="0"/>
        </w:rPr>
        <w:t xml:space="preserve">c)  </w:t>
      </w:r>
      <w:r w:rsidDel="00000000" w:rsidR="00000000" w:rsidRPr="00000000">
        <w:rPr>
          <w:b w:val="1"/>
          <w:bCs w:val="1"/>
          <w:rtl w:val="0"/>
        </w:rPr>
        <w:t xml:space="preserve">Documentos integrantes</w:t>
      </w:r>
      <w:r w:rsidDel="00000000" w:rsidR="00000000" w:rsidRPr="00000000">
        <w:rPr>
          <w:rtl w:val="0"/>
        </w:rPr>
      </w:r>
    </w:p>
    <w:p w:rsidR="00000000" w:rsidDel="00000000" w:rsidP="00000000" w:rsidRDefault="00000000" w:rsidRPr="00000000" w14:paraId="000000BC">
      <w:pPr>
        <w:spacing w:line="360" w:lineRule="auto"/>
        <w:jc w:val="both"/>
        <w:rPr/>
      </w:pPr>
      <w:r w:rsidDel="00000000" w:rsidR="00000000" w:rsidRPr="00000000">
        <w:rPr>
          <w:rtl w:val="0"/>
        </w:rPr>
        <w:t xml:space="preserve">Forman parte integrante del presente Contrato todos los anexos, instrumentos individuales y cartas de instrucción suscritos por las partes en el marco de este.</w:t>
      </w:r>
    </w:p>
    <w:p w:rsidR="00000000" w:rsidDel="00000000" w:rsidP="00000000" w:rsidRDefault="00000000" w:rsidRPr="00000000" w14:paraId="000000BD">
      <w:pPr>
        <w:spacing w:line="360" w:lineRule="auto"/>
        <w:jc w:val="both"/>
        <w:rPr/>
      </w:pPr>
      <w:r w:rsidDel="00000000" w:rsidR="00000000" w:rsidRPr="00000000">
        <w:rPr>
          <w:rtl w:val="0"/>
        </w:rPr>
      </w:r>
    </w:p>
    <w:p w:rsidR="00000000" w:rsidDel="00000000" w:rsidP="00000000" w:rsidRDefault="00000000" w:rsidRPr="00000000" w14:paraId="000000BE">
      <w:pPr>
        <w:spacing w:line="360" w:lineRule="auto"/>
        <w:ind w:left="200" w:firstLine="0"/>
        <w:jc w:val="both"/>
        <w:rPr/>
      </w:pPr>
      <w:r w:rsidDel="00000000" w:rsidR="00000000" w:rsidRPr="00000000">
        <w:rPr>
          <w:b w:val="1"/>
          <w:bCs w:val="1"/>
          <w:color w:val="5b4fcf"/>
          <w:rtl w:val="0"/>
        </w:rPr>
        <w:t xml:space="preserve">d)  </w:t>
      </w:r>
      <w:r w:rsidDel="00000000" w:rsidR="00000000" w:rsidRPr="00000000">
        <w:rPr>
          <w:b w:val="1"/>
          <w:bCs w:val="1"/>
          <w:rtl w:val="0"/>
        </w:rPr>
        <w:t xml:space="preserve">Notificaciones</w:t>
      </w: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t xml:space="preserve">Toda notificación entre las partes se realizará por escrito, pudiendo utilizarse correo electrónico a las direcciones registradas por cada parte, con acuse de recibo.</w:t>
      </w:r>
    </w:p>
    <w:p w:rsidR="00000000" w:rsidDel="00000000" w:rsidP="00000000" w:rsidRDefault="00000000" w:rsidRPr="00000000" w14:paraId="000000C0">
      <w:pPr>
        <w:spacing w:line="360" w:lineRule="auto"/>
        <w:jc w:val="both"/>
        <w:rPr/>
      </w:pPr>
      <w:r w:rsidDel="00000000" w:rsidR="00000000" w:rsidRPr="00000000">
        <w:rPr>
          <w:rtl w:val="0"/>
        </w:rPr>
      </w:r>
    </w:p>
    <w:tbl>
      <w:tblPr>
        <w:tblStyle w:val="Table1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C1">
            <w:pPr>
              <w:spacing w:line="360" w:lineRule="auto"/>
              <w:jc w:val="both"/>
              <w:rPr/>
            </w:pPr>
            <w:r w:rsidDel="00000000" w:rsidR="00000000" w:rsidRPr="00000000">
              <w:rPr>
                <w:b w:val="1"/>
                <w:bCs w:val="1"/>
                <w:color w:val="ffffff"/>
                <w:rtl w:val="0"/>
              </w:rPr>
              <w:t xml:space="preserve">DÉCIMA CUARTA — Aceptación y conformidad</w:t>
            </w:r>
            <w:r w:rsidDel="00000000" w:rsidR="00000000" w:rsidRPr="00000000">
              <w:rPr>
                <w:rtl w:val="0"/>
              </w:rPr>
            </w:r>
          </w:p>
        </w:tc>
      </w:tr>
    </w:tbl>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spacing w:line="360" w:lineRule="auto"/>
        <w:jc w:val="both"/>
        <w:rPr/>
      </w:pPr>
      <w:r w:rsidDel="00000000" w:rsidR="00000000" w:rsidRPr="00000000">
        <w:rPr>
          <w:rtl w:val="0"/>
        </w:rPr>
        <w:t xml:space="preserve">Los comparecientes, en las calidades con que actuamos, declaramos haber leído íntegramente el presente Contrato, estar bien impuestos de su contenido, objeto, validez y efectos legales, y aceptamos, ratificamos y firmamos en la ciudad de Guatemala, el </w:t>
      </w:r>
      <w:r w:rsidDel="00000000" w:rsidR="00000000" w:rsidRPr="00000000">
        <w:rPr>
          <w:rtl w:val="0"/>
        </w:rPr>
        <w:t xml:space="preserve">{diaTexto} de {mesTexto} de dos mil {anoTexto}.</w:t>
      </w: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r>
    </w:p>
    <w:tbl>
      <w:tblPr>
        <w:tblStyle w:val="Table1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720"/>
        <w:gridCol w:w="4500"/>
        <w:tblGridChange w:id="0">
          <w:tblGrid>
            <w:gridCol w:w="4500"/>
            <w:gridCol w:w="72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pBdr>
                <w:bottom w:color="5b4fcf" w:space="0" w:sz="4" w:val="single"/>
              </w:pBdr>
              <w:spacing w:line="360" w:lineRule="auto"/>
              <w:jc w:val="both"/>
              <w:rPr/>
            </w:pPr>
            <w:r w:rsidDel="00000000" w:rsidR="00000000" w:rsidRPr="00000000">
              <w:rPr>
                <w:rtl w:val="0"/>
              </w:rPr>
              <w:t xml:space="preserve"> </w:t>
            </w:r>
          </w:p>
          <w:p w:rsidR="00000000" w:rsidDel="00000000" w:rsidP="00000000" w:rsidRDefault="00000000" w:rsidRPr="00000000" w14:paraId="000000C6">
            <w:pPr>
              <w:spacing w:line="360" w:lineRule="auto"/>
              <w:jc w:val="both"/>
              <w:rPr/>
            </w:pPr>
            <w:r w:rsidDel="00000000" w:rsidR="00000000" w:rsidRPr="00000000">
              <w:rPr>
                <w:b w:val="1"/>
                <w:bCs w:val="1"/>
                <w:color w:val="5b4fcf"/>
                <w:rtl w:val="0"/>
              </w:rPr>
              <w:t xml:space="preserve">CUBE INVESTMENTS, S.A.</w:t>
            </w: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color w:val="8888aa"/>
                <w:rtl w:val="0"/>
              </w:rPr>
              <w:t xml:space="preserve">José Andrés Asensio Hernández</w:t>
            </w: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color w:val="8888aa"/>
                <w:rtl w:val="0"/>
              </w:rPr>
              <w:t xml:space="preserve">Administrador Único y Representante Legal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line="360" w:lineRule="auto"/>
              <w:jc w:val="left"/>
              <w:rPr/>
            </w:pPr>
            <w:r w:rsidDel="00000000" w:rsidR="00000000" w:rsidRPr="00000000">
              <w:rPr>
                <w:rtl w:val="0"/>
                <w:color w:val="5b4fcf"/>
              </w:rPr>
              <w:t xml:space="preserve">___________________________________</w:t>
            </w:r>
          </w:p>
          <w:p w:rsidR="00000000" w:rsidDel="00000000" w:rsidP="00000000" w:rsidRDefault="00000000" w:rsidRPr="00000000" w14:paraId="000000CB">
            <w:pPr>
              <w:spacing w:line="360" w:lineRule="auto"/>
              <w:jc w:val="left"/>
              <w:rPr/>
            </w:pPr>
            <w:r w:rsidDel="00000000" w:rsidR="00000000" w:rsidRPr="00000000">
              <w:rPr>
                <w:b w:val="1"/>
                <w:bCs w:val="1"/>
                <w:color w:val="5b4fcf"/>
                <w:rtl w:val="0"/>
              </w:rPr>
              <w:t xml:space="preserve">{nombreSociedadInversionista}</w:t>
            </w:r>
            <w:r w:rsidDel="00000000" w:rsidR="00000000" w:rsidRPr="00000000">
              <w:rPr>
                <w:rtl w:val="0"/>
              </w:rPr>
            </w:r>
          </w:p>
          <w:p w:rsidR="00000000" w:rsidDel="00000000" w:rsidP="00000000" w:rsidRDefault="00000000" w:rsidRPr="00000000" w14:paraId="000000CC">
            <w:pPr>
              <w:spacing w:line="360" w:lineRule="auto"/>
              <w:jc w:val="left"/>
              <w:rPr/>
            </w:pPr>
            <w:r w:rsidDel="00000000" w:rsidR="00000000" w:rsidRPr="00000000">
              <w:rPr>
                <w:color w:val="8888aa"/>
                <w:rtl w:val="0"/>
              </w:rPr>
              <w:t xml:space="preserve">{nombreCompleto}</w:t>
            </w:r>
            <w:r w:rsidDel="00000000" w:rsidR="00000000" w:rsidRPr="00000000">
              <w:rPr>
                <w:rtl w:val="0"/>
              </w:rPr>
            </w:r>
          </w:p>
          <w:p w:rsidR="00000000" w:rsidDel="00000000" w:rsidP="00000000" w:rsidRDefault="00000000" w:rsidRPr="00000000" w14:paraId="000000CD">
            <w:pPr>
              <w:spacing w:line="360" w:lineRule="auto"/>
              <w:jc w:val="left"/>
              <w:rPr/>
            </w:pPr>
            <w:r w:rsidDel="00000000" w:rsidR="00000000" w:rsidRPr="00000000">
              <w:rPr>
                <w:color w:val="8888aa"/>
                <w:rtl w:val="0"/>
              </w:rPr>
              <w:t xml:space="preserve">DPI {dpi}</w:t>
            </w:r>
            <w:r w:rsidDel="00000000" w:rsidR="00000000" w:rsidRPr="00000000">
              <w:rPr>
                <w:rtl w:val="0"/>
              </w:rPr>
            </w:r>
          </w:p>
        </w:tc>
      </w:tr>
    </w:tbl>
    <w:p w:rsidR="00000000" w:rsidDel="00000000" w:rsidP="00000000" w:rsidRDefault="00000000" w:rsidRPr="00000000" w14:paraId="000000CE">
      <w:pPr>
        <w:spacing w:line="360" w:lineRule="auto"/>
        <w:jc w:val="both"/>
        <w:rPr/>
      </w:pPr>
      <w:r w:rsidDel="00000000" w:rsidR="00000000" w:rsidRPr="00000000">
        <w:rPr>
          <w:rtl w:val="0"/>
        </w:rPr>
      </w:r>
    </w:p>
    <w:sectPr>
      <w:headerReference r:id="rId10" w:type="default"/>
      <w:footerReference r:id="rId11" w:type="default"/>
      <w:pgSz w:h="20160" w:w="12240" w:orient="portrait"/>
      <w:pgMar w:bottom="1077.1653543307089" w:top="1559.0551181102364" w:left="1258.5826771653544" w:right="1258.582677165354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ddddf5" w:space="4" w:sz="4" w:val="single"/>
      </w:pBdr>
      <w:jc w:val="center"/>
      <w:rPr/>
    </w:pPr>
    <w:r w:rsidDel="00000000" w:rsidR="00000000" w:rsidRPr="00000000">
      <w:rPr>
        <w:color w:val="8888aa"/>
        <w:sz w:val="16"/>
        <w:szCs w:val="16"/>
        <w:rtl w:val="0"/>
      </w:rPr>
      <w:t xml:space="preserve">Cube Investments, S.A.  ·  CASH IN  ·  Página </w:t>
    </w:r>
    <w:r w:rsidDel="00000000" w:rsidR="00000000" w:rsidRPr="00000000">
      <w:rPr>
        <w:color w:val="8888aa"/>
        <w:sz w:val="16"/>
        <w:szCs w:val="16"/>
      </w:rPr>
      <w:fldChar w:fldCharType="begin"/>
      <w:instrText xml:space="preserve">PAGE</w:instrText>
      <w:fldChar w:fldCharType="separate"/>
      <w:fldChar w:fldCharType="end"/>
    </w:r>
    <w:r w:rsidDel="00000000" w:rsidR="00000000" w:rsidRPr="00000000">
      <w:rPr>
        <w:color w:val="8888aa"/>
        <w:sz w:val="16"/>
        <w:szCs w:val="16"/>
        <w:rtl w:val="0"/>
      </w:rPr>
      <w:t xml:space="preserve"> de </w:t>
    </w:r>
    <w:r w:rsidDel="00000000" w:rsidR="00000000" w:rsidRPr="00000000">
      <w:rPr>
        <w:color w:val="8888a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bottom w:color="5b4fcf" w:space="6" w:sz="4" w:val="single"/>
      </w:pBdr>
      <w:rPr>
        <w:color w:val="8888aa"/>
        <w:sz w:val="16"/>
        <w:szCs w:val="16"/>
      </w:rPr>
    </w:pPr>
    <w:r w:rsidDel="00000000" w:rsidR="00000000" w:rsidRPr="00000000">
      <w:rPr>
        <w:color w:val="000000"/>
      </w:rPr>
      <w:drawing>
        <wp:anchor allowOverlap="1" behindDoc="1" distB="0" distT="0" distL="0" distR="0" hidden="0" layoutInCell="1" locked="0" relativeHeight="0" simplePos="0">
          <wp:simplePos x="0" y="0"/>
          <wp:positionH relativeFrom="page">
            <wp:posOffset>685618</wp:posOffset>
          </wp:positionH>
          <wp:positionV relativeFrom="page">
            <wp:posOffset>300264</wp:posOffset>
          </wp:positionV>
          <wp:extent cx="1182189" cy="450125"/>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82189" cy="450125"/>
                  </a:xfrm>
                  <a:prstGeom prst="rect"/>
                  <a:ln/>
                </pic:spPr>
              </pic:pic>
            </a:graphicData>
          </a:graphic>
        </wp:anchor>
      </w:drawing>
    </w:r>
    <w:r w:rsidDel="00000000" w:rsidR="00000000" w:rsidRPr="00000000">
      <w:rPr>
        <w:color w:val="8888aa"/>
        <w:sz w:val="16"/>
        <w:szCs w:val="16"/>
        <w:rtl w:val="0"/>
      </w:rPr>
      <w:t xml:space="preserve">                                        ·  Contrato de Inversión y Administración de Cartera  ·  Confidencial</w:t>
    </w:r>
  </w:p>
  <w:p w:rsidR="00000000" w:rsidDel="00000000" w:rsidP="00000000" w:rsidRDefault="00000000" w:rsidRPr="00000000" w14:paraId="000000D0">
    <w:pPr>
      <w:pBdr>
        <w:bottom w:color="5b4fcf" w:space="6"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1e3a"/>
        <w:lang w:val="es-G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1e3a"/>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xN+JFlqraH7a36GA0nE/Aqy0pw==">CgMxLjAaJwoBMBIiCiAIBCocCgtBQUFDQUFkWHZudxAIGgtBQUFDQUFkWHZudxonCgExEiIKIAgEKhwKC0FBQUNBQWRYdm4wEAgaC0FBQUNBQWRYdm4wGicKATISIgogCAQqHAoLQUFBQ0lSUzhSYlUQCBoLQUFBQ0lSUzhSYlUaJwoBMxIiCiAIBCocCgtBQUFDSVJTOFJiWRAIGgtBQUFDSVJTOFJiWRonCgE0EiIKIAgEKhwKC0FBQUNJUlM4UmJjEAgaC0FBQUNJUlM4UmJjGicKATUSIgogCAQqHAoLQUFBQ0lSUzhSYmsQCBoLQUFBQ0lSUzhSYmsaJwoBNhIiCiAIBCocCgtBQUFDSVJTOFJibxAIGgtBQUFDSVJTOFJibxonCgE3EiIKIAgEKhwKC0FBQUNJUlM4UmJzEAgaC0FBQUNJUlM4UmJzGicKATgSIgogCAQqHAoLQUFBQ0lSUzhSYjAQCBoLQUFBQ0lSUzhSYjAaJwoBORIiCiAIBCocCgtBQUFDSVJTOFJiNBAIGgtBQUFDSVJTOFJiNBooCgIxMBIiCiAIBCocCgtBQUFDSVJTOFJiOBAIGgtBQUFDSVJTOFJiOBooCgIxMRIiCiAIBCocCgtBQUFDSVJTOFJjQRAIGgtBQUFDSVJTOFJjQRooCgIxMhIiCiAIBCocCgtBQUFDRDRzX0xFSRAIGgtBQUFDRDRzX0xFSRooCgIxMxIiCiAIBCocCgtBQUFDRDRzX0xFURAIGgtBQUFDRDRzX0xFURooCgIxNBIiCiAIBCocCgtBQUFDQUFkWHZuNBAIGgtBQUFDQUFkWHZuNBooCgIxNRIiCiAIBCocCgtBQUFDSVJTOFJjVRAIGgtBQUFDSVJTOFJjVRooCgIxNhIiCiAIBCocCgtBQUFDRDRzX0xFZxAIGgtBQUFDRDRzX0xFZyKlBAoLQUFBQ0lSUzhSYmMS8wMKC0FBQUNJUlM4UmJjEgtBQUFDSVJTOFJiYxqCAQoJdGV4dC9odG1sEnV0aXBvIGRlIHJlcHJlc2VudGFjaW9uIGxlZ2FsLCBlbiBsZXRyw6FzIG1pbsO6c2N1bGFzIHNvbG8gbGEgcHJpbWVyIGxldHJhIGRlIGNhZGEgcGFsYWJyYSBlbiBtYXnDunNjdWxhIHkgZW4gbmVncmlsbGEigwEKCnRleHQvcGxhaW4SdXRpcG8gZGUgcmVwcmVzZW50YWNpb24gbGVnYWwsIGVuIGxldHLDoXMgbWluw7pzY3VsYXMgc29sbyBsYSBwcmltZXIgbGV0cmEgZGUgY2FkYSBwYWxhYnJhIGVuIG1hecO6c2N1bGEgeSBlbiBuZWdyaWxsYSobIhUxMDExNzYyMDg4MDU3MTIxNzIwMDYoADgAMOWMh5SRNDjljIeUkTRaDGVrd2NrNzJ4MnNwNHICIAB4AIgBApoBBggAEAAYAKoBdxJ1dGlwbyBkZSByZXByZXNlbnRhY2lvbiBsZWdhbCwgZW4gbGV0csOhcyBtaW7DunNjdWxhcyBzb2xvIGxhIHByaW1lciBsZXRyYSBkZSBjYWRhIHBhbGFicmEgZW4gbWF5w7pzY3VsYSB5IGVuIG5lZ3JpbGxhsAEAuAEByAEAGOWMh5SRNCDljIeUkTQwAEIQa2l4Lmk3ZDhhYzFmazh1NSKSAgoLQUFBQ0lSUzhSY0ES4AEKC0FBQUNJUlM4UmNBEgtBQUFDSVJTOFJjQRonCgl0ZXh0L2h0bWwSGmxpYnJvIGVuIGxldHJhcyB5IG7Dum1lcm9zIigKCnRleHQvcGxhaW4SGmxpYnJvIGVuIGxldHJhcyB5IG7Dum1lcm9zKhsiFTEwMTE3NjIwODgwNTcxMjE3MjAwNigAOAAwo8GMlJE0OKPBjJSRNFoMdWk0bHZjb3E4YTU2cgIgAHgAiAECmgEGCAAQABgAqgEcEhpsaWJybyBlbiBsZXRyYXMgeSBuw7ptZXJvc7ABALgBAcgBABijwYyUkTQgo8GMlJE0MABCEGtpeC5jMzMzNGhtNGdkeXUi+AMKC0FBQUNJUlM4UmJvEsYDCgtBQUFDSVJTOFJibxILQUFBQ0lSUzhSYm8adwoJdGV4dC9odG1sEmpmZWNoYSBkZWwgYWN0YSwgJnF1b3Q7b2pvIGVzdGEgZmVjaGEgZXMgY29tcGxldGFtZW50ZSBkaWZlcmVudGUgYSBsYSBmZWNoYSBlbiBxdWUgc2UgZmlybWEgbGEgY2VzaW9uJnF1b3Q7Im4KCnRleHQvcGxhaW4SYGZlY2hhIGRlbCBhY3RhLCAib2pvIGVzdGEgZmVjaGEgZXMgY29tcGxldGFtZW50ZSBkaWZlcmVudGUgYSBsYSBmZWNoYSBlbiBxdWUgc2UgZmlybWEgbGEgY2VzaW9uIiobIhUxMDExNzYyMDg4MDU3MTIxNzIwMDYoADgAMIrhiJSRNDiK4YiUkTRaDGJobTZ4MHZhd3RtOXICIAB4AIgBApoBBggAEAAYAKoBbBJqZmVjaGEgZGVsIGFjdGEsICZxdW90O29qbyBlc3RhIGZlY2hhIGVzIGNvbXBsZXRhbWVudGUgZGlmZXJlbnRlIGEgbGEgZmVjaGEgZW4gcXVlIHNlIGZpcm1hIGxhIGNlc2lvbiZxdW90O7ABALgBAcgBABiK4YiUkTQgiuGIlJE0MABCEGtpeC5wNGtvMXB6NmZ4Mm4i5gIKC0FBQUNJUlM4UmJrErQCCgtBQUFDSVJTOFJiaxILQUFBQ0lSUzhSYmsaQwoJdGV4dC9odG1sEjZub21icmUgZGUgbGEgc29jaWVkYWQgZW4gbGV0cmFzIG1hecO6c2N1bGFzIHkgbmVncmlsbGEiRAoKdGV4dC9wbGFpbhI2bm9tYnJlIGRlIGxhIHNvY2llZGFkIGVuIGxldHJhcyBtYXnDunNjdWxhcyB5IG5lZ3JpbGxhKhsiFTEwMTE3NjIwODgwNTcxMjE3MjAwNigAOAAwgIqIlJE0OICKiJSRNFoMd3EzNGF3NGxsOW1jcgIgAHgAiAECmgEGCAAQABgAqgE4EjZub21icmUgZGUgbGEgc29jaWVkYWQgZW4gbGV0cmFzIG1hecO6c2N1bGFzIHkgbmVncmlsbGGwAQC4AQHIAQAYgIqIlJE0IICKiJSRNDAAQhBraXguZGt3YnF5amFvMzIxIq0CCgtBQUFDRDRzX0xFURL7AQoLQUFBQ0Q0c19MRVESC0FBQUNENHNfTEVRGjAKCXRleHQvaHRtbBIjcG9yY2VudGFqZSBkZSB0YXNhIGFudWFsIGVuIG7Dum1lcm8iMQoKdGV4dC9wbGFpbhIjcG9yY2VudGFqZSBkZSB0YXNhIGFudWFsIGVuIG7Dum1lcm8qGyIVMTAxMTc2MjA4ODA1NzEyMTcyMDA2KAA4ADDBj/r/+DM4wY/6//gzWgx3djFtN2J2aWs3ejZyAiAAeACIAQKaAQYIABAAGACqASUSI3BvcmNlbnRhamUgZGUgdGFzYSBhbnVhbCBlbiBuw7ptZXJvsAEAuAEByAEAGMGP+v/4MyDBj/r/+DMwAEIQa2l4Lm1meWQ0ZGJkeXI5eSK8AgoLQUFBQ0lSUzhSYjQSigIKC0FBQUNJUlM4UmI0EgtBQUFDSVJTOFJiNBo1Cgl0ZXh0L2h0bWwSKG7Dum1lcm8gZGUgcmVnaXN0cm8gZW4gbGV0cmFzIHkgbsO6bWVyb3MiNgoKdGV4dC9wbGFpbhIobsO6bWVybyBkZSByZWdpc3RybyBlbiBsZXRyYXMgeSBuw7ptZXJvcyobIhUxMDExNzYyMDg4MDU3MTIxNzIwMDYoADgAMOrNipSRNDjqzYqUkTRaDGlwNXFnbG1sMWRheXICIAB4AIgBApoBBggAEAAYAKoBKhIobsO6bWVybyBkZSByZWdpc3RybyBlbiBsZXRyYXMgeSBuw7ptZXJvc7ABALgBAcgBABjqzYqUkTQg6s2KlJE0MABCEGtpeC5sbmd3OGU5YXdwdG0igwIKC0FBQUNJUlM4UmNVEtEBCgtBQUFDSVJTOFJjVRILQUFBQ0lSUzhSY1UaIgoJdGV4dC9odG1sEhVOT01CUkUgREUgTEEgU09DSUVEQUQiIwoKdGV4dC9wbGFpbhIVTk9NQlJFIERFIExBIFNPQ0lFREFEKhsiFTEwMTE3NjIwODgwNTcxMjE3MjAwNigAOAAwv72SlJE0OL+9kpSRNFoMeHF3Z2RvcjljdzFicgIgAHgAiAECmgEGCAAQABgAqgEXEhVOT01CUkUgREUgTEEgU09DSUVEQUSwAQC4AQHIAQAYv72SlJE0IL+9kpSRNDAAQhBraXgucGdzbTVjZXN6MmVyIuwCCgtBQUFDQUFkWHZuMBK6AgoLQUFBQ0FBZFh2bjASC0FBQUNBQWRYdm4wGkUKCXRleHQvaHRtbBI4TsOaTUVSTyBERSBEUEkgRU4gTEVUUkFTIFkgRU5UUkUgUEFSw4lOVEVTSVMgRU4gTsOaTUVST1MiRgoKdGV4dC9wbGFpbhI4TsOaTUVSTyBERSBEUEkgRU4gTEVUUkFTIFkgRU5UUkUgUEFSw4lOVEVTSVMgRU4gTsOaTUVST1MqGyIVMTAxMTc2MjA4ODA1NzEyMTcyMDA2KAA4ADCdhNba9jM4nYTW2vYzWgw1YncyamNlMDN0enFyAiAAeACIAQKaAQYIABAAGACqAToSOE7Dmk1FUk8gREUgRFBJIEVOIExFVFJBUyBZIEVOVFJFIFBBUsOJTlRFU0lTIEVOIE7Dmk1FUk9TsAEAuAEByAEAGJ2E1tr2MyCdhNba9jMwAEIQa2l4LnFxMG12ZGhicXFzbyLgAgoLQUFBQ0lSUzhSYlUSrgIKC0FBQUNJUlM4UmJVEgtBQUFDSVJTOFJiVRpBCgl0ZXh0L2h0bWwSNE5BQ0lPTkFMSURBRCBERUwgSU5WRVJTSU9OSVNUQSBFTiBMRVRSQVMgTUlOw5pTQ1VMQVMiQgoKdGV4dC9wbGFpbhI0TkFDSU9OQUxJREFEIERFTCBJTlZFUlNJT05JU1RBIEVOIExFVFJBUyBNSU7DmlNDVUxBUyobIhUxMDExNzYyMDg4MDU3MTIxNzIwMDYoADgAMN/hhZSRNDjf4YWUkTRaDDF5bmdzbnhjZHJxbnICIAB4AIgBApoBBggAEAAYAKoBNhI0TkFDSU9OQUxJREFEIERFTCBJTlZFUlNJT05JU1RBIEVOIExFVFJBUyBNSU7DmlNDVUxBU7ABALgBAcgBABjf4YWUkTQg3+GFlJE0MABCEGtpeC5iajMzMHY0bmhoMTIivAIKC0FBQUNJUlM4UmJzEosCCgtBQUFDSVJTOFJicxILQUFBQ0lSUzhSYnMaPAoJdGV4dC9odG1sEi8mcXVvdDtlbCBub3RhcmlvJnF1b3Q7IG8gJnF1b3Q7bGEgbm90YXJpYSZxdW90OyIpCgp0ZXh0L3BsYWluEhsiZWwgbm90YXJpbyIgbyAibGEgbm90YXJpYSIqGyIVMTAxMTc2MjA4ODA1NzEyMTcyMDA2KAA4ADC6pYmUkTQ4uqWJlJE0Wgx1Z3dmemVuOWMwazVyAiAAeACIAQKaAQYIABAAGACqATESLyZxdW90O2VsIG5vdGFyaW8mcXVvdDsgbyAmcXVvdDtsYSBub3RhcmlhJnF1b3Q7sAEAuAEByAEAGLqliZSRNCC6pYmUkTQwAEIPa2l4Lm1vbmQ2aXg5N3I4IrMDCgtBQUFDSVJTOFJiMBKCAwoLQUFBQ0lSUzhSYjASC0FBQUNJUlM4UmIwGl0KCXRleHQvaHRtbBJQbm9tYnJlIGRlIGxhIG5vdGFyaWEgbyBub3RhcmlvIGVuIHNvbG8gbGEgcHJpbWVyIGxldHJhIGRlbCBub21icmUgZW4gbWF5w7pzY3VsYXMiXgoKdGV4dC9wbGFpbhJQbm9tYnJlIGRlIGxhIG5vdGFyaWEgbyBub3RhcmlvIGVuIHNvbG8gbGEgcHJpbWVyIGxldHJhIGRlbCBub21icmUgZW4gbWF5w7pzY3VsYXMqGyIVMTAxMTc2MjA4ODA1NzEyMTcyMDA2KAA4ADD++omUkTQ4/vqJlJE0Wgx6Zzh5aWpvN2FobWhyAiAAeACIAQKaAQYIABAAGACqAVISUG5vbWJyZSBkZSBsYSBub3RhcmlhIG8gbm90YXJpbyBlbiBzb2xvIGxhIHByaW1lciBsZXRyYSBkZWwgbm9tYnJlIGVuIG1hecO6c2N1bGFzsAEAuAEByAEAGP76iZSRNCD++omUkTQwAEIPa2l4Lmxsc203ejk5MzN6IvICCgtBQUFDQUFkWHZuNBLAAgoLQUFBQ0FBZFh2bjQSC0FBQUNBQWRYdm40GkcKCXRleHQvaHRtbBI6RkVDSEEgRU4gTEEgUVVFIFNFIEZJUk1BIEVMIENPTlRSQVRPIEVOIExFVFJBUyBNSU7DmlNDVUxBUyJICgp0ZXh0L3BsYWluEjpGRUNIQSBFTiBMQSBRVUUgU0UgRklSTUEgRUwgQ09OVFJBVE8gRU4gTEVUUkFTIE1JTsOaU0NVTEFTKhsiFTEwMTE3NjIwODgwNTcxMjE3MjAwNigAOAAwrPfX2vYzOKz319r2M1oMejdvdnhkdnN3aWp0cgIgAHgAiAECmgEGCAAQABgAqgE8EjpGRUNIQSBFTiBMQSBRVUUgU0UgRklSTUEgRUwgQ09OVFJBVE8gRU4gTEVUUkFTIE1JTsOaU0NVTEFTsAEAuAEByAEAGKz319r2MyCs99fa9jMwAEIQa2l4Lmphbmhkenl5ZnZndSLUAgoLQUFBQ0Q0c19MRUkSogIKC0FBQUNENHNfTEVJEgtBQUFDRDRzX0xFSRo9Cgl0ZXh0L2h0bWwSMHBvcmNlbnRhamUgZW4gbsO6bWVyIGRlIHRhc2EgZGUgcmV0b3JubyBtw6FzIElWQSI+Cgp0ZXh0L3BsYWluEjBwb3JjZW50YWplIGVuIG7Dum1lciBkZSB0YXNhIGRlIHJldG9ybm8gbcOhcyBJVkEqGyIVMTAxMTc2MjA4ODA1NzEyMTcyMDA2KAA4ADDL+Pj/+DM4y/j4//gzWgxtOWRtNmIxemx1eGxyAiAAeACIAQKaAQYIABAAGACqATISMHBvcmNlbnRhamUgZW4gbsO6bWVyIGRlIHRhc2EgZGUgcmV0b3JubyBtw6FzIElWQbABALgBAcgBABjL+Pj/+DMgy/j4//gzMABCEGtpeC5xbm9hMThwYjh5Z3oi7gIKC0FBQUNBQWRYdm53ErwCCgtBQUFDQUFkWHZudxILQUFBQ0FBZFh2bncaRgoJdGV4dC9odG1sEjlOT01CUkUgREVMIElOVkVSU0lPTklTVEEgRU4gTEVUUkFTIE1BWcOaU0NVTEFTIFkgTkVHUklMTEEiRwoKdGV4dC9wbGFpbhI5Tk9NQlJFIERFTCBJTlZFUlNJT05JU1RBIEVOIExFVFJBUyBNQVnDmlNDVUxBUyBZIE5FR1JJTExBKhsiFTEwMTE3NjIwODgwNTcxMjE3MjAwNigAOAAwkbrU2vYzOJG61Nr2M1oLYzZieHdxYW93YWRyAiAAeACIAQKaAQYIABAAGACqATsSOU5PTUJSRSBERUwgSU5WRVJTSU9OSVNUQSBFTiBMRVRSQVMgTUFZw5pTQ1VMQVMgWSBORUdSSUxMQbABALgBAcgBABiRutTa9jMgkbrU2vYzMABCEGtpeC4zMGljdXN2ZGs5bTUilQMKC0FBQUNENHNfTEVnEuMCCgtBQUFDRDRzX0xFZxILQUFBQ0Q0c19MRWcaVgoJdGV4dC9odG1sEklzZSBjb2xvY2EgRFBJIGRlIGludmVyc2lvbmlzdGEgc2UgZGViZSBkZSBib3JyYXIgJnF1b3Q7bm9tYnJlIHkgRFBJJnF1b3Q7Ik0KCnRleHQvcGxhaW4SP3NlIGNvbG9jYSBEUEkgZGUgaW52ZXJzaW9uaXN0YSBzZSBkZWJlIGRlIGJvcnJhciAibm9tYnJlIHkgRFBJIiobIhUxMDExNzYyMDg4MDU3MTIxNzIwMDYoADgAMIqhhoD5MziKoYaA+TNaDGZ0Y2VmMzQzemVoM3ICIAB4AIgBApoBBggAEAAYAKoBSxJJc2UgY29sb2NhIERQSSBkZSBpbnZlcnNpb25pc3RhIHNlIGRlYmUgZGUgYm9ycmFyICZxdW90O25vbWJyZSB5IERQSSZxdW90O7ABALgBAcgBABiKoYaA+TMgiqGGgPkzMABCEGtpeC5mM2doc3FoaTJqanEiswIKC0FBQUNJUlM4UmI4EoECCgtBQUFDSVJTOFJiOBILQUFBQ0lSUzhSYjgaMgoJdGV4dC9odG1sEiVuw7ptZXJvIGRlIGZvbGlvIGVuIGxldHJhcyB5IG7Dum1lcm9zIjMKCnRleHQvcGxhaW4SJW7Dum1lcm8gZGUgZm9saW8gZW4gbGV0cmFzIHkgbsO6bWVyb3MqGyIVMTAxMTc2MjA4ODA1NzEyMTcyMDA2KAA4ADDzkIuUkTQ485CLlJE0Wgx4N2tjeGVxbXhkbDlyAiAAeACIAQKaAQYIABAAGACqAScSJW7Dum1lcm8gZGUgZm9saW8gZW4gbGV0cmFzIHkgbsO6bWVyb3OwAQC4AQHIAQAY85CLlJE0IPOQi5SRNDAAQhBraXguNjYzM3h0M2hpcjBrIpgCCgtBQUFDSVJTOFJiWRLmAQoLQUFBQ0lSUzhSYlkSC0FBQUNJUlM4UmJZGikKCXRleHQvaHRtbBIccHJvZmVzacOzbiBkZWwgaW52ZXJzaW9uaXN0YSIqCgp0ZXh0L3BsYWluEhxwcm9mZXNpw7NuIGRlbCBpbnZlcnNpb25pc3RhKhsiFTEwMTE3NjIwODgwNTcxMjE3MjAwNigAOAAw1LOGlJE0ONSzhpSRNFoManJjNngwcHZlemQ1cgIgAHgAiAECmgEGCAAQABgAqgEeEhxwcm9mZXNpw7NuIGRlbCBpbnZlcnNpb25pc3RhsAEAuAEByAEAGNSzhpSRNCDUs4aUkTQwAEIQa2l4LmkzNWM4Z243dDU3djgAciExNHYxOGpDX3JDSzZUb2hES05UWS1adzdENmJGZE1sd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