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fontTable.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jpeg" ContentType="image/jpeg"/>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76" w:before="0" w:after="0"/>
        <w:ind w:hanging="0" w:left="0" w:right="0"/>
        <w:jc w:val="center"/>
        <w:rPr>
          <w:rFonts w:ascii="Quattrocento Sans" w:hAnsi="Quattrocento Sans" w:eastAsia="Quattrocento Sans" w:cs="Quattrocento Sans"/>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76" w:before="0" w:after="0"/>
        <w:ind w:hanging="0" w:left="0" w:right="0"/>
        <w:jc w:val="center"/>
        <w:rPr>
          <w:rFonts w:ascii="Quattrocento Sans" w:hAnsi="Quattrocento Sans" w:eastAsia="Quattrocento Sans" w:cs="Quattrocento Sans"/>
          <w:b/>
          <w:bCs/>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CONTRATO DE PRESTACIÓN DE SERVICIOS DE RECEPCIÓN DE PAGOS POR CUENTA DE TERCEROS Y GESTIONES DE COBRANZA</w:t>
      </w:r>
    </w:p>
    <w:p>
      <w:pPr>
        <w:pStyle w:val="normal1"/>
        <w:keepNext w:val="false"/>
        <w:keepLines w:val="false"/>
        <w:pageBreakBefore w:val="false"/>
        <w:widowControl w:val="false"/>
        <w:pBdr/>
        <w:shd w:val="clear" w:fill="auto"/>
        <w:spacing w:lineRule="auto" w:line="240" w:before="173"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1" w:after="0"/>
        <w:ind w:hanging="0" w:left="566"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Nosotros:</w:t>
      </w:r>
    </w:p>
    <w:p>
      <w:pPr>
        <w:pStyle w:val="normal1"/>
        <w:keepNext w:val="false"/>
        <w:keepLines w:val="false"/>
        <w:pageBreakBefore w:val="false"/>
        <w:widowControl w:val="false"/>
        <w:numPr>
          <w:ilvl w:val="0"/>
          <w:numId w:val="6"/>
        </w:numPr>
        <w:pBdr/>
        <w:shd w:val="clear" w:fill="auto"/>
        <w:tabs>
          <w:tab w:val="clear" w:pos="720"/>
          <w:tab w:val="left" w:pos="812" w:leader="none"/>
          <w:tab w:val="left" w:pos="3058" w:leader="none"/>
          <w:tab w:val="left" w:pos="4152" w:leader="none"/>
          <w:tab w:val="left" w:pos="5922" w:leader="none"/>
        </w:tabs>
        <w:spacing w:lineRule="auto" w:line="276" w:before="240" w:after="0"/>
        <w:ind w:hanging="0" w:left="566" w:right="271"/>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JOSÉ ANDRES ASENSIO HERNÁNDEZ,</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de </w:t>
      </w:r>
      <w:sdt>
        <w:sdtPr>
          <w:tag w:val="goog_rdk_0"/>
          <w:id w:val="-1941814931"/>
        </w:sdtPr>
        <w:sdtConten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{edadAndres}</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años de edad, casado, Comerciante, guatemalteco, de este domicilio, me identifico con el Documento Personal de Identificación, Código Único de Identificación dos mil quinientos cincuenta y tres, cero cinco mil cincuenta y dos, cero ciento uno (2553 05052 0101), extendido por el Registro Nacional de las Personas –RENAP- República de Guatemala, Centroamérica. Actúo en mi calidad de </w:t>
      </w: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 xml:space="preserve">Administrador Único y Representante Legal </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de la entidad denominada </w:t>
      </w: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CUBE INVESTMENTS, SOCIEDAD ANÓNIMA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lo que acredito con el Acta Notarial en la que consta mi nombramiento, autorizada en la ciudad de Guatemala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 (en adelante también referido como la “Contratista” o “Cube Investments”),</w:t>
      </w:r>
    </w:p>
    <w:p>
      <w:pPr>
        <w:pStyle w:val="normal1"/>
        <w:keepNext w:val="false"/>
        <w:keepLines w:val="false"/>
        <w:pageBreakBefore w:val="false"/>
        <w:widowControl w:val="false"/>
        <w:numPr>
          <w:ilvl w:val="0"/>
          <w:numId w:val="6"/>
        </w:numPr>
        <w:pBdr/>
        <w:shd w:val="clear" w:fill="auto"/>
        <w:tabs>
          <w:tab w:val="clear" w:pos="720"/>
          <w:tab w:val="left" w:pos="898" w:leader="none"/>
          <w:tab w:val="left" w:pos="1649" w:leader="none"/>
          <w:tab w:val="left" w:pos="3963" w:leader="none"/>
          <w:tab w:val="left" w:pos="7050" w:leader="none"/>
        </w:tabs>
        <w:spacing w:lineRule="auto" w:line="276" w:before="200" w:after="0"/>
        <w:ind w:hanging="0" w:left="566" w:right="26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bookmarkStart w:id="0" w:name="_heading=h.v31hv44zxwf2"/>
      <w:bookmarkEnd w:id="0"/>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RICHARD KACHLER ORTEGA,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de </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{edadRichard}</w:t>
      </w:r>
      <w:r>
        <w:rPr>
          <w:sz w:val="20"/>
          <w:szCs w:val="20"/>
        </w:rPr>
        <w:t xml:space="preserve"> 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ños de edad, soltero, Licenciado en Administración Hotelera, guatemalteco, de este domicilio, me identifico con Documento Personal de Identificación, Código Único de Identificación un mil quinientos setenta y tres, sesenta y seis mil ciento noventa y siete, cero ciento uno (1573 66197 0101), extendido por el Registro Nacional de las Personas –RENAP- República de Guatemala Centroamérica, actuando en mi calidad de </w:t>
      </w:r>
      <w:r>
        <w:rPr>
          <w:rFonts w:eastAsia="Quattrocento Sans" w:cs="Quattrocento Sans"/>
          <w:b/>
          <w:bCs/>
          <w:i/>
          <w:iCs/>
          <w:caps w:val="false"/>
          <w:smallCaps w:val="false"/>
          <w:strike w:val="false"/>
          <w:dstrike w:val="false"/>
          <w:color w:val="000000"/>
          <w:position w:val="0"/>
          <w:sz w:val="20"/>
          <w:sz w:val="20"/>
          <w:szCs w:val="20"/>
          <w:u w:val="none"/>
          <w:shd w:fill="auto" w:val="clear"/>
          <w:vertAlign w:val="baseline"/>
        </w:rPr>
        <w:t>Administrador Y Representante Legal,</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de la entidad mercantil denominada </w:t>
      </w: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RDBE, SOCIEDAD ANÓNIMA,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lo que acredito con el acta notarial que contiene nombramiento, autorizado en esta ciudad el veintitrés de junio del año dos mil veinticinco, por el Notario Arturo Alberto Arroyo Monahan, documento que se encuentra inscrito en el Registro Mercantil General de la República al número: Setecientos noventa y cuatro mil quinientos cuarenta y ocho (794548), folio: Trescientos cincuenta y tres (353), libro: Ochocientos cuarenta y ocho (848) de Auxiliares de Comercio (en adelante también referido como la entidad “GARANTE”); y,</w:t>
      </w:r>
    </w:p>
    <w:p>
      <w:pPr>
        <w:pStyle w:val="normal1"/>
        <w:keepNext w:val="false"/>
        <w:keepLines w:val="false"/>
        <w:pageBreakBefore w:val="false"/>
        <w:widowControl w:val="false"/>
        <w:numPr>
          <w:ilvl w:val="0"/>
          <w:numId w:val="6"/>
        </w:numPr>
        <w:pBdr/>
        <w:shd w:val="clear" w:fill="auto"/>
        <w:tabs>
          <w:tab w:val="clear" w:pos="720"/>
          <w:tab w:val="left" w:pos="898" w:leader="none"/>
          <w:tab w:val="left" w:pos="1649" w:leader="none"/>
          <w:tab w:val="left" w:pos="3963" w:leader="none"/>
          <w:tab w:val="left" w:pos="7050" w:leader="none"/>
        </w:tabs>
        <w:spacing w:lineRule="auto" w:line="276" w:before="200" w:after="0"/>
        <w:ind w:hanging="0" w:left="566" w:right="26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{nombreCompleto}</w:t>
      </w:r>
      <w:r>
        <w:rPr>
          <w:rFonts w:eastAsia="Quattrocento Sans" w:cs="Quattrocento Sans"/>
          <w:b/>
          <w:bCs/>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de </w:t>
      </w:r>
      <w:sdt>
        <w:sdtPr>
          <w:tag w:val="goog_rdk_3"/>
          <w:id w:val="-305876489"/>
        </w:sdtPr>
        <w:sdtConten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{edad}</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años de edad, </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{estadoCivil}</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{profesion}</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{estadoCivil}</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de este domicilio, me identifico con Documento Personal de Identificación, Código Único de Identificación </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{dpiTexto}</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{dpi}</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extendido por el Registro Nacional de las Personas –RENAP-, República de Guatemala, Centroamérica, (en adelante referido como la “Contratante”)</w:t>
      </w:r>
    </w:p>
    <w:p>
      <w:pPr>
        <w:pStyle w:val="normal1"/>
        <w:keepNext w:val="false"/>
        <w:keepLines w:val="false"/>
        <w:pageBreakBefore w:val="false"/>
        <w:widowControl w:val="false"/>
        <w:pBdr/>
        <w:shd w:val="clear" w:fill="auto"/>
        <w:spacing w:lineRule="auto" w:line="276" w:before="240"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Expresamos ser de las generales indicadas; hallarnos en el libre ejercicio de nuestros derechos civiles; y, que en las calidades con que actuamos, comparecemos con el objeto de celebrar CONTRATO DE PRESTACIÓN DE SERVICIOS DE RECEPCIÓN DE PAGOS POR</w:t>
      </w:r>
    </w:p>
    <w:p>
      <w:pPr>
        <w:pStyle w:val="normal1"/>
        <w:keepNext w:val="false"/>
        <w:keepLines w:val="false"/>
        <w:pageBreakBefore w:val="false"/>
        <w:widowControl w:val="false"/>
        <w:pBdr/>
        <w:shd w:val="clear" w:fill="auto"/>
        <w:spacing w:lineRule="auto" w:line="264" w:before="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CUENTA DE TERCEROS Y GESTIONES DE COBRANZA (en adelante “Contrato de Servicios”</w:t>
      </w:r>
    </w:p>
    <w:p>
      <w:pPr>
        <w:pStyle w:val="normal1"/>
        <w:keepNext w:val="false"/>
        <w:keepLines w:val="false"/>
        <w:pageBreakBefore w:val="false"/>
        <w:widowControl w:val="false"/>
        <w:pBdr/>
        <w:shd w:val="clear" w:fill="auto"/>
        <w:spacing w:lineRule="auto" w:line="240" w:before="39" w:after="0"/>
        <w:ind w:hanging="0" w:left="566"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o simplemente el “Contrato”), para lo cual manifestamos lo siguiente:</w:t>
      </w:r>
    </w:p>
    <w:p>
      <w:pPr>
        <w:pStyle w:val="normal1"/>
        <w:keepNext w:val="false"/>
        <w:keepLines w:val="false"/>
        <w:pageBreakBefore w:val="false"/>
        <w:widowControl w:val="false"/>
        <w:pBdr/>
        <w:shd w:val="clear" w:fill="auto"/>
        <w:spacing w:lineRule="auto" w:line="240" w:before="10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PRIMERA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ANTECEDENTES:</w:t>
      </w:r>
    </w:p>
    <w:p>
      <w:pPr>
        <w:pStyle w:val="normal1"/>
        <w:keepNext w:val="false"/>
        <w:keepLines w:val="false"/>
        <w:pageBreakBefore w:val="false"/>
        <w:widowControl w:val="false"/>
        <w:pBdr/>
        <w:shd w:val="clear" w:fill="auto"/>
        <w:tabs>
          <w:tab w:val="clear" w:pos="720"/>
          <w:tab w:val="left" w:pos="5422" w:leader="none"/>
        </w:tabs>
        <w:spacing w:lineRule="auto" w:line="276" w:before="241" w:after="0"/>
        <w:ind w:hanging="0" w:left="566" w:right="272"/>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Las partes manifiestan que, con fecha </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diaTexto} de {mesTexto} de dos mil {anoTexto}</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suscribieron un Acuerdo Privado de Inversión (el “Acuerdo”), en el cual estipularon y acordaron las condiciones bajo las cuales la contratante, a su sola discreción, podrá invertir recursos monetarios por medio de la plataforma propiedad de la Contratista. En consecuencia, el presente Contrato de Servicios debe interpretarse dentro del marco, estipulaciones y limitaciones del referido Acuerdo.</w:t>
      </w:r>
    </w:p>
    <w:p>
      <w:pPr>
        <w:pStyle w:val="normal1"/>
        <w:keepNext w:val="false"/>
        <w:keepLines w:val="false"/>
        <w:pageBreakBefore w:val="false"/>
        <w:widowControl w:val="false"/>
        <w:pBdr/>
        <w:shd w:val="clear" w:fill="auto"/>
        <w:spacing w:lineRule="auto" w:line="276" w:before="200" w:after="0"/>
        <w:ind w:hanging="0" w:left="566" w:right="26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manifiesta que, derivado del Acuerdo de Inversión, podrá participar bajo distintas modalidades de inversión, incluyendo: (i) la celebración de contratos de cesión de créditos, o (ii) la celebración de contratos de reconocimiento de deuda con distintas personas naturales o jurídicas (los “Contratos de Deuda”), mismos que se formalizarán en sus respectivos instrumentos y que podrán adjuntarse como anexos al presente Contrato, de tiempo en tiempo. Cada Contrato de Deuda reflejará el capital adeudado a favor de la contratante y los intereses pactados conforme a sus condiciones individuales; así mismo, cada cesión de deuda que se le haga a su favor reflejará también las condiciones acordadas en su momento con el cliente en particular.</w:t>
      </w:r>
    </w:p>
    <w:p>
      <w:pPr>
        <w:pStyle w:val="normal1"/>
        <w:keepNext w:val="false"/>
        <w:keepLines w:val="false"/>
        <w:pageBreakBefore w:val="false"/>
        <w:widowControl w:val="false"/>
        <w:pBdr/>
        <w:shd w:val="clear" w:fill="auto"/>
        <w:spacing w:lineRule="auto" w:line="276" w:before="201" w:after="0"/>
        <w:ind w:hanging="0" w:left="566" w:right="26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Asimismo, derivado de la forma de participación en la inversión elegida, las partes acuerdan que todo pago de capital e intereses a favor de la contratante se canalizará a través de Cube Investments, S.A., quien, en calidad de administrador, receptora de pagos por cuenta de tercero y agente de cobranza, recibirá dichos pagos y los trasladará a la contratante conforme a lo estipulado en cada Contrato de Deuda y el Acuerdo de Inversión. La responsabilidad de Cube Investments, S.A. se limita a la correcta administración y traslado de los fondos efectivamente recibidos, sin garantizar el pago oportuno o íntegro por parte del deudor.</w:t>
      </w:r>
    </w:p>
    <w:p>
      <w:pPr>
        <w:pStyle w:val="normal1"/>
        <w:keepNext w:val="false"/>
        <w:keepLines w:val="false"/>
        <w:pageBreakBefore w:val="false"/>
        <w:widowControl w:val="false"/>
        <w:pBdr/>
        <w:shd w:val="clear" w:fill="auto"/>
        <w:spacing w:lineRule="auto" w:line="276" w:before="201" w:after="0"/>
        <w:ind w:hanging="0" w:left="566" w:right="272"/>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De igual forma, cuando la modalidad elegida consista en la adquisición de créditos en cartera activa,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acepta recibir dichos créditos en el estado en que se encuentren, incluyendo las condiciones y garantías constituidas, sin que exista obligación de Cube Investments, S.A. de subrogar, novar o modificar tales condiciones.</w:t>
      </w:r>
    </w:p>
    <w:p>
      <w:pPr>
        <w:pStyle w:val="normal1"/>
        <w:keepNext w:val="false"/>
        <w:keepLines w:val="false"/>
        <w:pageBreakBefore w:val="false"/>
        <w:widowControl w:val="false"/>
        <w:pBdr/>
        <w:shd w:val="clear" w:fill="auto"/>
        <w:spacing w:lineRule="auto" w:line="240" w:before="199"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SEGUNDA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OBJETO DEL CONTRATO Y HONORARIOS DEL CONTRATISTA.</w:t>
      </w:r>
    </w:p>
    <w:p>
      <w:pPr>
        <w:pStyle w:val="normal1"/>
        <w:keepNext w:val="false"/>
        <w:keepLines w:val="false"/>
        <w:pageBreakBefore w:val="false"/>
        <w:widowControl w:val="false"/>
        <w:pBdr/>
        <w:shd w:val="clear" w:fill="auto"/>
        <w:spacing w:lineRule="auto" w:line="276" w:before="241" w:after="0"/>
        <w:ind w:hanging="0" w:left="566" w:right="27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Por medio del presente Contrato, Cube Investments, Sociedad Anónima (la “Contratista”) se compromete a prestar servicios de administración, consistentes en la recepción de pagos por cuenta de terceros y en la realización de todas las gestiones ordinarias de cobro, judiciales y extrajudiciales, respecto de los pagos de capital e intereses pactados a favor de la contratante en cada Contrato de Deuda. Las Partes acuerdan expresamente que las obligaciones de la Contratista son de medio y no de resultado, por lo que no garantiza el pago oportuno ni íntegro del deudor.</w:t>
      </w:r>
    </w:p>
    <w:p>
      <w:pPr>
        <w:pStyle w:val="normal1"/>
        <w:keepNext w:val="false"/>
        <w:keepLines w:val="false"/>
        <w:pageBreakBefore w:val="false"/>
        <w:widowControl w:val="false"/>
        <w:pBdr/>
        <w:shd w:val="clear" w:fill="auto"/>
        <w:spacing w:lineRule="auto" w:line="276" w:before="241" w:after="0"/>
        <w:ind w:hanging="0" w:left="566" w:right="27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Como contraprestación, la Contratista percibirá honorarios equivalentes al {porcentajeLetrasCube} por ciento (</w:t>
      </w:r>
      <w:sdt>
        <w:sdtPr>
          <w:tag w:val="goog_rdk_10"/>
          <w:id w:val="242296728"/>
        </w:sdtPr>
        <w:sdtConten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sdtContent>
      </w:sd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{porcentajeNumeroCube}%) de los intereses efectivamente cobrados en nombre de la contratante que percibirá honorarios equivalentes al {porcentajeLetrasInversionista} por ciento ({porcentajeNumeroInversionista}%) Dichos honorarios se calcularán y liquidarán de forma mensual durante la vigencia del presente Contrato y conforme a cada Contrato de Deuda.</w:t>
      </w:r>
    </w:p>
    <w:p>
      <w:pPr>
        <w:pStyle w:val="normal1"/>
        <w:keepNext w:val="false"/>
        <w:keepLines w:val="false"/>
        <w:pageBreakBefore w:val="false"/>
        <w:widowControl w:val="false"/>
        <w:pBdr/>
        <w:shd w:val="clear" w:fill="auto"/>
        <w:spacing w:lineRule="auto" w:line="276" w:before="205" w:after="0"/>
        <w:ind w:hanging="0" w:left="566"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autoriza de forma expresa e irrevocable a la Contratista a deducir y retener sus honorarios directamente de los pagos de intereses que reciba por cuenta de la contratante, reintegrando únicamente el saldo neto correspondiente, incluyendo el capital recibido, siempre y cuando no haya optado por cualquier modalidad de inversión en contario, conforme al acuerdo de inversión.</w:t>
      </w:r>
    </w:p>
    <w:p>
      <w:pPr>
        <w:pStyle w:val="normal1"/>
        <w:keepNext w:val="false"/>
        <w:keepLines w:val="false"/>
        <w:pageBreakBefore w:val="false"/>
        <w:widowControl w:val="false"/>
        <w:pBdr/>
        <w:shd w:val="clear" w:fill="auto"/>
        <w:spacing w:lineRule="auto" w:line="276" w:before="202" w:after="0"/>
        <w:ind w:hanging="0" w:left="566" w:right="27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Para efectos de cálculo, la tasa de interés pactada en los Contratos de Deuda no podrá ser inferior al uno punto cinco por ciento (1.5%) mensual más IVA, salvo autorización expresa y por escrito de la contratante.</w:t>
      </w:r>
    </w:p>
    <w:p>
      <w:pPr>
        <w:pStyle w:val="normal1"/>
        <w:keepNext w:val="false"/>
        <w:keepLines w:val="false"/>
        <w:pageBreakBefore w:val="false"/>
        <w:widowControl w:val="false"/>
        <w:pBdr/>
        <w:shd w:val="clear" w:fill="auto"/>
        <w:spacing w:lineRule="auto" w:line="240" w:before="40"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76" w:before="0"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Cada Parte será responsable de sus propias obligaciones tributarias derivadas de los distintos contratos celebrados en el marco del presente instrumento.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reconoce que le corresponde emitir las facturas por los intereses que reciba del Deudor, conforme a la legislación aplicable.</w:t>
      </w:r>
    </w:p>
    <w:p>
      <w:pPr>
        <w:pStyle w:val="normal1"/>
        <w:keepNext w:val="false"/>
        <w:keepLines w:val="false"/>
        <w:pageBreakBefore w:val="false"/>
        <w:widowControl w:val="false"/>
        <w:pBdr/>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En caso </w:t>
      </w:r>
      <w:r>
        <w:rPr>
          <w:sz w:val="20"/>
          <w:szCs w:val="20"/>
        </w:rPr>
        <w:t xml:space="preserve">la </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no emita la factura correspondiente en el plazo legal, la Contratista no asumirá responsabilidad alguna por dicho incumplimiento. En tal supuesto, Cube Investments, Sociedad Anónima tendrá derecho a emitir la factura por la cuota total recibida de parte del Deudor y a trasladar a la contratante únicamente el monto neto que corresponda, descontando los impuestos aplicables.</w:t>
      </w:r>
    </w:p>
    <w:p>
      <w:pPr>
        <w:pStyle w:val="normal1"/>
        <w:keepNext w:val="false"/>
        <w:keepLines w:val="false"/>
        <w:pageBreakBefore w:val="false"/>
        <w:widowControl w:val="false"/>
        <w:pBdr/>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caso de que cualquier inversión incurra en atraso o impago por parte del Deudor, la Contratista tendrá la facultad de iniciar y continuar, a su sola discreción, las gestiones de cobro judicial correspondientes, sin requerir autorización previa de la contratante.</w:t>
      </w:r>
    </w:p>
    <w:p>
      <w:pPr>
        <w:pStyle w:val="normal1"/>
        <w:keepNext w:val="false"/>
        <w:keepLines w:val="false"/>
        <w:pageBreakBefore w:val="false"/>
        <w:widowControl w:val="false"/>
        <w:pBdr/>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Los costos, honorarios y gastos derivados de dichas gestiones podrán ser asumidos inicialmente por la Contratista como parte de su gestión de recuperación, y serán recuperados con cargo a los montos efectivamente percibidos del Deudor, o integrados dentro de la estructura de costos de la operación, sin que ello implique obligación de pago directo o desembolso por parte de la contratante.</w:t>
      </w:r>
    </w:p>
    <w:p>
      <w:pPr>
        <w:pStyle w:val="normal1"/>
        <w:keepNext w:val="false"/>
        <w:keepLines w:val="false"/>
        <w:pageBreakBefore w:val="false"/>
        <w:widowControl w:val="false"/>
        <w:pBdr/>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reconoce que la gestión judicial forma parte del servicio integral de administración de cartera prestado por la Contratista.</w:t>
      </w:r>
    </w:p>
    <w:p>
      <w:pPr>
        <w:pStyle w:val="normal1"/>
        <w:keepNext w:val="false"/>
        <w:keepLines w:val="false"/>
        <w:pageBreakBefore w:val="false"/>
        <w:widowControl w:val="false"/>
        <w:pBdr/>
        <w:shd w:val="clear" w:fill="auto"/>
        <w:spacing w:lineRule="auto" w:line="276" w:before="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TERCERA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GESTION DE COBRANZA Y RECEPCIÓN DE PAGOS POR CUENTA DE TERCEROS</w:t>
      </w:r>
    </w:p>
    <w:p>
      <w:pPr>
        <w:pStyle w:val="normal1"/>
        <w:keepNext w:val="false"/>
        <w:keepLines w:val="false"/>
        <w:pageBreakBefore w:val="false"/>
        <w:widowControl w:val="false"/>
        <w:pBdr/>
        <w:shd w:val="clear" w:fill="auto"/>
        <w:spacing w:lineRule="auto" w:line="240" w:before="81"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76" w:before="0" w:after="0"/>
        <w:ind w:hanging="0" w:left="566" w:right="27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se obliga a prestar servicios de gestión de cobro y recepción de pagos por cuenta de la contratante, consistentes en realizar todas las gestiones ordinarias necesarias para procurar el cobro de capital e intereses a favor de la contratante frente al Deudor respectivos, sin que ello implique obligación de resultado, sino de medios.</w:t>
      </w:r>
    </w:p>
    <w:p>
      <w:pPr>
        <w:pStyle w:val="normal1"/>
        <w:keepNext w:val="false"/>
        <w:keepLines w:val="false"/>
        <w:pageBreakBefore w:val="false"/>
        <w:widowControl w:val="false"/>
        <w:pBdr/>
        <w:shd w:val="clear" w:fill="auto"/>
        <w:spacing w:lineRule="auto" w:line="276" w:before="0" w:after="0"/>
        <w:ind w:hanging="0" w:left="566" w:right="27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numPr>
          <w:ilvl w:val="1"/>
          <w:numId w:val="6"/>
        </w:numPr>
        <w:pBdr/>
        <w:shd w:val="clear" w:fill="auto"/>
        <w:tabs>
          <w:tab w:val="clear" w:pos="720"/>
          <w:tab w:val="left" w:pos="925" w:leader="none"/>
        </w:tabs>
        <w:spacing w:lineRule="auto" w:line="240" w:before="1" w:after="0"/>
        <w:ind w:hanging="359" w:left="925"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Gestión de inversiones y cobro</w:t>
      </w:r>
    </w:p>
    <w:p>
      <w:pPr>
        <w:pStyle w:val="normal1"/>
        <w:tabs>
          <w:tab w:val="clear" w:pos="720"/>
          <w:tab w:val="left" w:pos="925" w:leader="none"/>
        </w:tabs>
        <w:spacing w:lineRule="auto" w:line="240" w:before="1" w:after="0"/>
        <w:ind w:hanging="0" w:left="566"/>
        <w:rPr>
          <w:sz w:val="20"/>
          <w:szCs w:val="20"/>
        </w:rPr>
      </w:pPr>
      <w:r>
        <w:rPr>
          <w:sz w:val="20"/>
          <w:szCs w:val="20"/>
        </w:rPr>
        <w:t>Los servicios de gestión de inversiones y cobro que la Contratista efectuará en nombre y favor de la contratante incluirán:</w:t>
      </w:r>
    </w:p>
    <w:p>
      <w:pPr>
        <w:pStyle w:val="normal1"/>
        <w:keepNext w:val="false"/>
        <w:keepLines w:val="false"/>
        <w:pageBreakBefore w:val="false"/>
        <w:widowControl w:val="false"/>
        <w:numPr>
          <w:ilvl w:val="0"/>
          <w:numId w:val="5"/>
        </w:numPr>
        <w:pBdr/>
        <w:shd w:val="clear" w:fill="auto"/>
        <w:tabs>
          <w:tab w:val="left" w:pos="718" w:leader="none"/>
          <w:tab w:val="left" w:pos="720" w:leader="none"/>
        </w:tabs>
        <w:spacing w:lineRule="auto" w:line="276" w:before="200" w:after="0"/>
        <w:ind w:hanging="360" w:left="720"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Presentar a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cada nueva inversión que cumpla con los criterios establecidos en el Acuerdo para su confirmación escrita.</w:t>
      </w:r>
    </w:p>
    <w:p>
      <w:pPr>
        <w:pStyle w:val="normal1"/>
        <w:keepNext w:val="false"/>
        <w:keepLines w:val="false"/>
        <w:pageBreakBefore w:val="false"/>
        <w:widowControl w:val="false"/>
        <w:numPr>
          <w:ilvl w:val="0"/>
          <w:numId w:val="5"/>
        </w:numPr>
        <w:pBdr/>
        <w:shd w:val="clear" w:fill="auto"/>
        <w:tabs>
          <w:tab w:val="left" w:pos="718" w:leader="none"/>
          <w:tab w:val="left" w:pos="720" w:leader="none"/>
        </w:tabs>
        <w:spacing w:lineRule="auto" w:line="276" w:before="202" w:after="0"/>
        <w:ind w:hanging="360" w:left="720"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Formalizar el Contrato de Deuda correspondiente una vez aceptada la inversión por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w:t>
      </w:r>
    </w:p>
    <w:p>
      <w:pPr>
        <w:pStyle w:val="normal1"/>
        <w:keepNext w:val="false"/>
        <w:keepLines w:val="false"/>
        <w:pageBreakBefore w:val="false"/>
        <w:widowControl w:val="false"/>
        <w:numPr>
          <w:ilvl w:val="0"/>
          <w:numId w:val="5"/>
        </w:numPr>
        <w:pBdr/>
        <w:shd w:val="clear" w:fill="auto"/>
        <w:tabs>
          <w:tab w:val="left" w:pos="718" w:leader="none"/>
          <w:tab w:val="left" w:pos="720" w:leader="none"/>
        </w:tabs>
        <w:spacing w:lineRule="auto" w:line="276" w:before="199" w:after="0"/>
        <w:ind w:hanging="360" w:left="720" w:right="28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Recibir los desembolsos de la contratante y trasladarlos conforme a las instrucciones acordadas.</w:t>
      </w:r>
    </w:p>
    <w:p>
      <w:pPr>
        <w:pStyle w:val="normal1"/>
        <w:keepNext w:val="false"/>
        <w:keepLines w:val="false"/>
        <w:pageBreakBefore w:val="false"/>
        <w:widowControl w:val="false"/>
        <w:numPr>
          <w:ilvl w:val="0"/>
          <w:numId w:val="5"/>
        </w:numPr>
        <w:pBdr/>
        <w:shd w:val="clear" w:fill="auto"/>
        <w:tabs>
          <w:tab w:val="left" w:pos="718" w:leader="none"/>
          <w:tab w:val="left" w:pos="720" w:leader="none"/>
        </w:tabs>
        <w:spacing w:lineRule="auto" w:line="276" w:before="200" w:after="0"/>
        <w:ind w:hanging="360" w:left="720" w:right="27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Incorporar cada Contrato de Deuda como anexo al presente Contrato y llevar un registro actualizado de inversiones, saldos, moras y estatus de la cartera de la contratante.</w:t>
      </w:r>
    </w:p>
    <w:p>
      <w:pPr>
        <w:pStyle w:val="normal1"/>
        <w:keepNext w:val="false"/>
        <w:keepLines w:val="false"/>
        <w:pageBreakBefore w:val="false"/>
        <w:widowControl w:val="false"/>
        <w:numPr>
          <w:ilvl w:val="0"/>
          <w:numId w:val="5"/>
        </w:numPr>
        <w:pBdr/>
        <w:shd w:val="clear" w:fill="auto"/>
        <w:tabs>
          <w:tab w:val="left" w:pos="720" w:leader="none"/>
        </w:tabs>
        <w:spacing w:lineRule="auto" w:line="240" w:before="199" w:after="0"/>
        <w:ind w:hanging="360" w:left="720"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Emitir recordatorios mensuales a el Deudor sobre fechas, montos y formas de pago.</w:t>
      </w:r>
    </w:p>
    <w:p>
      <w:pPr>
        <w:pStyle w:val="normal1"/>
        <w:keepNext w:val="false"/>
        <w:keepLines w:val="false"/>
        <w:pageBreakBefore w:val="false"/>
        <w:widowControl w:val="false"/>
        <w:numPr>
          <w:ilvl w:val="0"/>
          <w:numId w:val="5"/>
        </w:numPr>
        <w:pBdr/>
        <w:shd w:val="clear" w:fill="auto"/>
        <w:tabs>
          <w:tab w:val="left" w:pos="720" w:leader="none"/>
        </w:tabs>
        <w:spacing w:lineRule="auto" w:line="240" w:before="241" w:after="0"/>
        <w:ind w:hanging="360" w:left="720"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Atender consultas del Deudor respecto de los pagos pendientes.</w:t>
      </w:r>
    </w:p>
    <w:p>
      <w:pPr>
        <w:pStyle w:val="normal1"/>
        <w:keepNext w:val="false"/>
        <w:keepLines w:val="false"/>
        <w:pageBreakBefore w:val="false"/>
        <w:widowControl w:val="false"/>
        <w:numPr>
          <w:ilvl w:val="0"/>
          <w:numId w:val="5"/>
        </w:numPr>
        <w:pBdr/>
        <w:shd w:val="clear" w:fill="auto"/>
        <w:tabs>
          <w:tab w:val="left" w:pos="718" w:leader="none"/>
          <w:tab w:val="left" w:pos="720" w:leader="none"/>
        </w:tabs>
        <w:spacing w:lineRule="auto" w:line="276" w:before="240" w:after="0"/>
        <w:ind w:hanging="360" w:left="720"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Mantener registro exacto de su gestión de cobro, pudiendo la Contratista realizar acuerdos extrajudiciales de pago en caso de incumplimiento del Deudor, sin necesidad de autorización previa de l</w:t>
      </w:r>
      <w:r>
        <w:rPr>
          <w:sz w:val="20"/>
          <w:szCs w:val="20"/>
        </w:rPr>
        <w:t>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siempre que los considere razonables y beneficiosos para la recuperación de fondos.</w:t>
      </w:r>
    </w:p>
    <w:p>
      <w:pPr>
        <w:pStyle w:val="normal1"/>
        <w:keepNext w:val="false"/>
        <w:keepLines w:val="false"/>
        <w:pageBreakBefore w:val="false"/>
        <w:widowControl w:val="false"/>
        <w:numPr>
          <w:ilvl w:val="0"/>
          <w:numId w:val="5"/>
        </w:numPr>
        <w:pBdr/>
        <w:shd w:val="clear" w:fill="auto"/>
        <w:tabs>
          <w:tab w:val="left" w:pos="718" w:leader="none"/>
          <w:tab w:val="left" w:pos="720" w:leader="none"/>
        </w:tabs>
        <w:spacing w:lineRule="auto" w:line="276" w:before="200" w:after="0"/>
        <w:ind w:hanging="360" w:left="720"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Coordinar con el Deudor la emisión y entrega de facturas por intereses, cuando corresponda.</w:t>
      </w:r>
    </w:p>
    <w:p>
      <w:pPr>
        <w:pStyle w:val="normal1"/>
        <w:keepNext w:val="false"/>
        <w:keepLines w:val="false"/>
        <w:pageBreakBefore w:val="false"/>
        <w:widowControl w:val="false"/>
        <w:numPr>
          <w:ilvl w:val="0"/>
          <w:numId w:val="5"/>
        </w:numPr>
        <w:pBdr/>
        <w:shd w:val="clear" w:fill="auto"/>
        <w:tabs>
          <w:tab w:val="left" w:pos="718" w:leader="none"/>
          <w:tab w:val="left" w:pos="720" w:leader="none"/>
        </w:tabs>
        <w:spacing w:lineRule="auto" w:line="276" w:before="199" w:after="0"/>
        <w:ind w:hanging="360" w:left="720" w:right="281"/>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caso de modalidad de cartera activa, el Inversionista acepta expresamente la cesión de créditos en el estado en que se encuentren, incluyendo garantías ya constituidas.</w:t>
      </w:r>
    </w:p>
    <w:p>
      <w:pPr>
        <w:pStyle w:val="normal1"/>
        <w:keepNext w:val="false"/>
        <w:keepLines w:val="false"/>
        <w:pageBreakBefore w:val="false"/>
        <w:widowControl w:val="false"/>
        <w:numPr>
          <w:ilvl w:val="1"/>
          <w:numId w:val="6"/>
        </w:numPr>
        <w:pBdr/>
        <w:shd w:val="clear" w:fill="auto"/>
        <w:tabs>
          <w:tab w:val="clear" w:pos="720"/>
          <w:tab w:val="left" w:pos="777" w:leader="none"/>
        </w:tabs>
        <w:spacing w:lineRule="auto" w:line="240" w:before="202" w:after="0"/>
        <w:ind w:hanging="211" w:left="777"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Recepción de pagos</w:t>
      </w:r>
    </w:p>
    <w:p>
      <w:pPr>
        <w:pStyle w:val="normal1"/>
        <w:keepNext w:val="false"/>
        <w:keepLines w:val="false"/>
        <w:pageBreakBefore w:val="false"/>
        <w:widowControl w:val="false"/>
        <w:pBdr/>
        <w:shd w:val="clear" w:fill="auto"/>
        <w:spacing w:lineRule="auto" w:line="276" w:before="240" w:after="0"/>
        <w:ind w:hanging="0" w:left="566"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prestará los siguientes servicios de recepción de pagos por cuenta de la contratante:</w:t>
      </w:r>
    </w:p>
    <w:p>
      <w:pPr>
        <w:pStyle w:val="normal1"/>
        <w:keepNext w:val="false"/>
        <w:keepLines w:val="false"/>
        <w:pageBreakBefore w:val="false"/>
        <w:widowControl w:val="false"/>
        <w:numPr>
          <w:ilvl w:val="0"/>
          <w:numId w:val="4"/>
        </w:numPr>
        <w:pBdr/>
        <w:shd w:val="clear" w:fill="auto"/>
        <w:tabs>
          <w:tab w:val="left" w:pos="720" w:leader="none"/>
        </w:tabs>
        <w:spacing w:lineRule="auto" w:line="240" w:before="200" w:after="0"/>
        <w:ind w:hanging="360" w:left="720"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Recibir pagos de capital e intereses efectuados por el Deudor.</w:t>
      </w:r>
    </w:p>
    <w:p>
      <w:pPr>
        <w:pStyle w:val="normal1"/>
        <w:keepNext w:val="false"/>
        <w:keepLines w:val="false"/>
        <w:pageBreakBefore w:val="false"/>
        <w:widowControl w:val="false"/>
        <w:numPr>
          <w:ilvl w:val="0"/>
          <w:numId w:val="4"/>
        </w:numPr>
        <w:pBdr/>
        <w:shd w:val="clear" w:fill="auto"/>
        <w:tabs>
          <w:tab w:val="left" w:pos="720" w:leader="none"/>
        </w:tabs>
        <w:spacing w:lineRule="auto" w:line="240" w:before="241" w:after="0"/>
        <w:ind w:hanging="360" w:left="720"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Emitir recibos de caja con detalle del monto y su aplicación a capital e intereses.</w:t>
      </w:r>
    </w:p>
    <w:p>
      <w:pPr>
        <w:pStyle w:val="normal1"/>
        <w:keepNext w:val="false"/>
        <w:keepLines w:val="false"/>
        <w:pageBreakBefore w:val="false"/>
        <w:widowControl w:val="false"/>
        <w:numPr>
          <w:ilvl w:val="0"/>
          <w:numId w:val="4"/>
        </w:numPr>
        <w:pBdr/>
        <w:shd w:val="clear" w:fill="auto"/>
        <w:tabs>
          <w:tab w:val="left" w:pos="718" w:leader="none"/>
          <w:tab w:val="left" w:pos="720" w:leader="none"/>
        </w:tabs>
        <w:spacing w:lineRule="auto" w:line="276" w:before="238" w:after="0"/>
        <w:ind w:hanging="360" w:left="720"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Mantener registros contables separados e independientes para los pagos de la contratante.</w:t>
      </w:r>
    </w:p>
    <w:p>
      <w:pPr>
        <w:pStyle w:val="normal1"/>
        <w:keepNext w:val="false"/>
        <w:keepLines w:val="false"/>
        <w:pageBreakBefore w:val="false"/>
        <w:widowControl w:val="false"/>
        <w:numPr>
          <w:ilvl w:val="0"/>
          <w:numId w:val="4"/>
        </w:numPr>
        <w:pBdr/>
        <w:shd w:val="clear" w:fill="auto"/>
        <w:tabs>
          <w:tab w:val="left" w:pos="718" w:leader="none"/>
          <w:tab w:val="left" w:pos="720" w:leader="none"/>
        </w:tabs>
        <w:spacing w:lineRule="auto" w:line="276" w:before="202" w:after="0"/>
        <w:ind w:hanging="360" w:left="720"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Mantener en custodia los fondos recibidos durante el período mensual y liquidarlos oportunamente, deduciendo sus honorarios conforme la cláusula segunda.</w:t>
      </w:r>
    </w:p>
    <w:p>
      <w:pPr>
        <w:pStyle w:val="normal1"/>
        <w:keepNext w:val="false"/>
        <w:keepLines w:val="false"/>
        <w:pageBreakBefore w:val="false"/>
        <w:widowControl w:val="false"/>
        <w:numPr>
          <w:ilvl w:val="0"/>
          <w:numId w:val="4"/>
        </w:numPr>
        <w:pBdr/>
        <w:shd w:val="clear" w:fill="auto"/>
        <w:tabs>
          <w:tab w:val="left" w:pos="720" w:leader="none"/>
        </w:tabs>
        <w:spacing w:lineRule="auto" w:line="240" w:before="199" w:after="0"/>
        <w:ind w:hanging="360" w:left="720"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Llevar registro exacto y verificable de los pagos recibidos.</w:t>
      </w:r>
    </w:p>
    <w:p>
      <w:pPr>
        <w:pStyle w:val="normal1"/>
        <w:keepNext w:val="false"/>
        <w:keepLines w:val="false"/>
        <w:pageBreakBefore w:val="false"/>
        <w:widowControl w:val="false"/>
        <w:numPr>
          <w:ilvl w:val="1"/>
          <w:numId w:val="6"/>
        </w:numPr>
        <w:pBdr/>
        <w:shd w:val="clear" w:fill="auto"/>
        <w:tabs>
          <w:tab w:val="clear" w:pos="720"/>
          <w:tab w:val="left" w:pos="787" w:leader="none"/>
        </w:tabs>
        <w:spacing w:lineRule="auto" w:line="240" w:before="100" w:after="0"/>
        <w:ind w:hanging="221" w:left="787"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Liquidaciones mensuales</w:t>
      </w:r>
    </w:p>
    <w:p>
      <w:pPr>
        <w:pStyle w:val="normal1"/>
        <w:keepNext w:val="false"/>
        <w:keepLines w:val="false"/>
        <w:pageBreakBefore w:val="false"/>
        <w:widowControl w:val="false"/>
        <w:numPr>
          <w:ilvl w:val="0"/>
          <w:numId w:val="3"/>
        </w:numPr>
        <w:pBdr/>
        <w:shd w:val="clear" w:fill="auto"/>
        <w:tabs>
          <w:tab w:val="left" w:pos="718" w:leader="none"/>
          <w:tab w:val="left" w:pos="720" w:leader="none"/>
        </w:tabs>
        <w:spacing w:lineRule="auto" w:line="276" w:before="241" w:after="0"/>
        <w:ind w:hanging="360" w:left="720" w:right="28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realizará liquidaciones mensuales de los pagos recibidos, que remitirá a la contratante a más tardar el día diez del mes siguiente (o día hábil inmediato).</w:t>
      </w:r>
    </w:p>
    <w:p>
      <w:pPr>
        <w:pStyle w:val="normal1"/>
        <w:keepNext w:val="false"/>
        <w:keepLines w:val="false"/>
        <w:pageBreakBefore w:val="false"/>
        <w:widowControl w:val="false"/>
        <w:numPr>
          <w:ilvl w:val="0"/>
          <w:numId w:val="3"/>
        </w:numPr>
        <w:pBdr/>
        <w:shd w:val="clear" w:fill="auto"/>
        <w:tabs>
          <w:tab w:val="left" w:pos="718" w:leader="none"/>
          <w:tab w:val="left" w:pos="720" w:leader="none"/>
        </w:tabs>
        <w:spacing w:lineRule="auto" w:line="276" w:before="199" w:after="0"/>
        <w:ind w:hanging="360" w:left="720"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Dichas liquidaciones detallarán por separado capital, intereses y honorarios de la Contratista.</w:t>
      </w:r>
    </w:p>
    <w:p>
      <w:pPr>
        <w:pStyle w:val="normal1"/>
        <w:keepNext w:val="false"/>
        <w:keepLines w:val="false"/>
        <w:pageBreakBefore w:val="false"/>
        <w:widowControl w:val="false"/>
        <w:numPr>
          <w:ilvl w:val="0"/>
          <w:numId w:val="3"/>
        </w:numPr>
        <w:pBdr/>
        <w:shd w:val="clear" w:fill="auto"/>
        <w:tabs>
          <w:tab w:val="left" w:pos="718" w:leader="none"/>
          <w:tab w:val="left" w:pos="720" w:leader="none"/>
        </w:tabs>
        <w:spacing w:lineRule="auto" w:line="276" w:before="200" w:after="0"/>
        <w:ind w:hanging="360" w:left="720" w:right="272"/>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tendrá cinco (5) días hábiles para presentar consultas u objeciones sobre los honorarios. Transcurrido dicho plazo sin objeción, la liquidación se tendrá por aceptada.</w:t>
      </w:r>
    </w:p>
    <w:p>
      <w:pPr>
        <w:pStyle w:val="normal1"/>
        <w:keepNext w:val="false"/>
        <w:keepLines w:val="false"/>
        <w:pageBreakBefore w:val="false"/>
        <w:widowControl w:val="false"/>
        <w:numPr>
          <w:ilvl w:val="0"/>
          <w:numId w:val="3"/>
        </w:numPr>
        <w:pBdr/>
        <w:shd w:val="clear" w:fill="auto"/>
        <w:tabs>
          <w:tab w:val="left" w:pos="718" w:leader="none"/>
          <w:tab w:val="left" w:pos="720" w:leader="none"/>
        </w:tabs>
        <w:spacing w:lineRule="auto" w:line="276" w:before="201" w:after="0"/>
        <w:ind w:hanging="360" w:left="720"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Una vez aceptada o validada la liquidación, la Contratista procederá a hacerse pago de sus honorarios y a trasladar a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el saldo neto, mediante depósito, transferencia o cheque a la cuenta registrada.</w:t>
      </w:r>
    </w:p>
    <w:p>
      <w:pPr>
        <w:pStyle w:val="normal1"/>
        <w:keepNext w:val="false"/>
        <w:keepLines w:val="false"/>
        <w:pageBreakBefore w:val="false"/>
        <w:widowControl w:val="false"/>
        <w:numPr>
          <w:ilvl w:val="0"/>
          <w:numId w:val="3"/>
        </w:numPr>
        <w:pBdr/>
        <w:shd w:val="clear" w:fill="auto"/>
        <w:tabs>
          <w:tab w:val="left" w:pos="718" w:leader="none"/>
          <w:tab w:val="left" w:pos="720" w:leader="none"/>
        </w:tabs>
        <w:spacing w:lineRule="auto" w:line="276" w:before="200" w:after="0"/>
        <w:ind w:hanging="360" w:left="720" w:right="277"/>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pago al Inversionista podrá realizarse mediante cesión de créditos activos equivalentes, conforme lo estipulado en el Acuerdo, entendiéndose que el Inversionista acepta los créditos en el estado en que se encuentren.</w:t>
      </w:r>
    </w:p>
    <w:p>
      <w:pPr>
        <w:pStyle w:val="normal1"/>
        <w:keepNext w:val="false"/>
        <w:keepLines w:val="false"/>
        <w:pageBreakBefore w:val="false"/>
        <w:widowControl w:val="false"/>
        <w:numPr>
          <w:ilvl w:val="0"/>
          <w:numId w:val="3"/>
        </w:numPr>
        <w:pBdr/>
        <w:shd w:val="clear" w:fill="auto"/>
        <w:tabs>
          <w:tab w:val="left" w:pos="718" w:leader="none"/>
          <w:tab w:val="left" w:pos="720" w:leader="none"/>
        </w:tabs>
        <w:spacing w:lineRule="auto" w:line="276" w:before="201" w:after="0"/>
        <w:ind w:hanging="360" w:left="720" w:right="277"/>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Alternativamente, el Inversionista podrá instruir la reinversión de sus utilidades conforme a la carta de instrucciones anexa al Acuerdo.</w:t>
      </w:r>
    </w:p>
    <w:p>
      <w:pPr>
        <w:pStyle w:val="normal1"/>
        <w:keepNext w:val="false"/>
        <w:keepLines w:val="false"/>
        <w:pageBreakBefore w:val="false"/>
        <w:widowControl w:val="false"/>
        <w:numPr>
          <w:ilvl w:val="1"/>
          <w:numId w:val="6"/>
        </w:numPr>
        <w:pBdr/>
        <w:shd w:val="clear" w:fill="auto"/>
        <w:tabs>
          <w:tab w:val="clear" w:pos="720"/>
          <w:tab w:val="left" w:pos="803" w:leader="none"/>
        </w:tabs>
        <w:spacing w:lineRule="auto" w:line="240" w:before="200" w:after="0"/>
        <w:ind w:hanging="237" w:left="803"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Registros contables</w:t>
      </w:r>
    </w:p>
    <w:p>
      <w:pPr>
        <w:pStyle w:val="normal1"/>
        <w:keepNext w:val="false"/>
        <w:keepLines w:val="false"/>
        <w:pageBreakBefore w:val="false"/>
        <w:widowControl w:val="false"/>
        <w:pBdr/>
        <w:shd w:val="clear" w:fill="auto"/>
        <w:spacing w:lineRule="auto" w:line="276" w:before="240" w:after="0"/>
        <w:ind w:hanging="0" w:left="566" w:right="26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llevará un registro completo y preciso de todas las operaciones derivadas del presente Contrato y del Acuerdo. Los registros de la Contratista prevalecerán frente a los de la contratante, siempre que estén respaldados por documentos derivados de transacciones efectivamente realizadas.</w:t>
      </w:r>
    </w:p>
    <w:p>
      <w:pPr>
        <w:pStyle w:val="normal1"/>
        <w:keepNext w:val="false"/>
        <w:keepLines w:val="false"/>
        <w:pageBreakBefore w:val="false"/>
        <w:widowControl w:val="false"/>
        <w:pBdr/>
        <w:shd w:val="clear" w:fill="auto"/>
        <w:spacing w:lineRule="auto" w:line="240" w:before="20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CUARTA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OBLIGACIONES DE LAS PARTES.</w:t>
      </w:r>
    </w:p>
    <w:p>
      <w:pPr>
        <w:pStyle w:val="normal1"/>
        <w:keepNext w:val="false"/>
        <w:keepLines w:val="false"/>
        <w:pageBreakBefore w:val="false"/>
        <w:widowControl w:val="false"/>
        <w:numPr>
          <w:ilvl w:val="0"/>
          <w:numId w:val="2"/>
        </w:numPr>
        <w:pBdr/>
        <w:shd w:val="clear" w:fill="auto"/>
        <w:tabs>
          <w:tab w:val="clear" w:pos="720"/>
          <w:tab w:val="left" w:pos="924" w:leader="none"/>
        </w:tabs>
        <w:spacing w:lineRule="auto" w:line="240" w:before="240" w:after="0"/>
        <w:ind w:hanging="358" w:left="924"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Obligaciones fiscales:</w:t>
      </w:r>
    </w:p>
    <w:p>
      <w:pPr>
        <w:pStyle w:val="normal1"/>
        <w:keepNext w:val="false"/>
        <w:keepLines w:val="false"/>
        <w:pageBreakBefore w:val="false"/>
        <w:widowControl w:val="false"/>
        <w:numPr>
          <w:ilvl w:val="1"/>
          <w:numId w:val="2"/>
        </w:numPr>
        <w:pBdr/>
        <w:shd w:val="clear" w:fill="auto"/>
        <w:tabs>
          <w:tab w:val="clear" w:pos="720"/>
          <w:tab w:val="left" w:pos="1333" w:leader="none"/>
        </w:tabs>
        <w:spacing w:lineRule="auto" w:line="276" w:before="39" w:after="0"/>
        <w:ind w:hanging="0" w:left="926"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facturará mensualmente sus servicios derivados del presente Contrato, de conformidad con la legislación aplicable.</w:t>
      </w:r>
    </w:p>
    <w:p>
      <w:pPr>
        <w:pStyle w:val="normal1"/>
        <w:keepNext w:val="false"/>
        <w:keepLines w:val="false"/>
        <w:pageBreakBefore w:val="false"/>
        <w:widowControl w:val="false"/>
        <w:numPr>
          <w:ilvl w:val="1"/>
          <w:numId w:val="2"/>
        </w:numPr>
        <w:pBdr/>
        <w:shd w:val="clear" w:fill="auto"/>
        <w:tabs>
          <w:tab w:val="clear" w:pos="720"/>
          <w:tab w:val="left" w:pos="1309" w:leader="none"/>
        </w:tabs>
        <w:spacing w:lineRule="auto" w:line="276" w:before="1" w:after="0"/>
        <w:ind w:hanging="0" w:left="926" w:right="27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será responsable de emitir las facturas correspondientes a los intereses devengados y percibidos por el Deudor en virtud de los Contratos de Deuda, entregándolas a la Contratista a requerimiento, para que esta a su vez las remita al Deudor contra el pago de dichos intereses. La Contratista no asume responsabilidad alguna en caso de que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incumpla sus obligaciones fiscales. En tal supuesto, y para efectos de cumplimiento legal, la Contratista podrá emitir la factura por la cuota total recibida y trasladar a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únicamente el monto neto correspondiente, deducidos los impuestos aplicables.</w:t>
      </w:r>
    </w:p>
    <w:p>
      <w:pPr>
        <w:pStyle w:val="normal1"/>
        <w:keepNext w:val="false"/>
        <w:keepLines w:val="false"/>
        <w:pageBreakBefore w:val="false"/>
        <w:widowControl w:val="false"/>
        <w:numPr>
          <w:ilvl w:val="0"/>
          <w:numId w:val="2"/>
        </w:numPr>
        <w:pBdr/>
        <w:shd w:val="clear" w:fill="auto"/>
        <w:tabs>
          <w:tab w:val="clear" w:pos="720"/>
          <w:tab w:val="left" w:pos="771" w:leader="none"/>
        </w:tabs>
        <w:spacing w:lineRule="auto" w:line="240" w:before="100" w:after="0"/>
        <w:ind w:hanging="205" w:left="771"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Obligaciones respecto a garantías:</w:t>
      </w:r>
    </w:p>
    <w:p>
      <w:pPr>
        <w:pStyle w:val="normal1"/>
        <w:keepNext w:val="false"/>
        <w:keepLines w:val="false"/>
        <w:pageBreakBefore w:val="false"/>
        <w:widowControl w:val="false"/>
        <w:pBdr/>
        <w:shd w:val="clear" w:fill="auto"/>
        <w:spacing w:lineRule="auto" w:line="276" w:before="241" w:after="0"/>
        <w:ind w:hanging="0" w:left="852"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a través de la entidad Garante, se obliga a prestar servicios de depositario y gestión administrativa sobre los bienes muebles que se otorguen en garantía para el cumplimiento de las obligaciones derivadas de los Contratos de Deuda celebrados en favor de la contratante.</w:t>
      </w:r>
    </w:p>
    <w:p>
      <w:pPr>
        <w:pStyle w:val="normal1"/>
        <w:keepNext w:val="false"/>
        <w:keepLines w:val="false"/>
        <w:pageBreakBefore w:val="false"/>
        <w:widowControl w:val="false"/>
        <w:numPr>
          <w:ilvl w:val="0"/>
          <w:numId w:val="2"/>
        </w:numPr>
        <w:pBdr/>
        <w:shd w:val="clear" w:fill="auto"/>
        <w:tabs>
          <w:tab w:val="clear" w:pos="720"/>
          <w:tab w:val="left" w:pos="1438" w:leader="none"/>
        </w:tabs>
        <w:spacing w:lineRule="auto" w:line="240" w:before="199" w:after="0"/>
        <w:ind w:hanging="358" w:left="1438"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Alcance de la preservación:</w:t>
      </w:r>
    </w:p>
    <w:p>
      <w:pPr>
        <w:pStyle w:val="normal1"/>
        <w:keepNext w:val="false"/>
        <w:keepLines w:val="false"/>
        <w:pageBreakBefore w:val="false"/>
        <w:widowControl w:val="false"/>
        <w:pBdr/>
        <w:shd w:val="clear" w:fill="auto"/>
        <w:spacing w:lineRule="auto" w:line="276" w:before="42" w:after="0"/>
        <w:ind w:hanging="0" w:left="1440" w:right="27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mediante la Garante, velará por la adecuada administración y preservación de los bienes muebles dados en garantía, así como por el seguimiento de los pagos derivados de la administración de las inversiones. No obstante, la Contratista no será responsable por pérdidas, deterioros o daños que resulten del uso normal, negligencia o actos del Deudor, de terceros, o de situaciones de caso fortuito o fuerza mayor.</w:t>
      </w:r>
    </w:p>
    <w:p>
      <w:pPr>
        <w:pStyle w:val="normal1"/>
        <w:keepNext w:val="false"/>
        <w:keepLines w:val="false"/>
        <w:pageBreakBefore w:val="false"/>
        <w:widowControl w:val="false"/>
        <w:pBdr/>
        <w:shd w:val="clear" w:fill="auto"/>
        <w:spacing w:lineRule="auto" w:line="276" w:before="20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QUINTA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PLAZO. El presente Contrato de Prestación de Servicios tendrá una vigencia indefinida, vinculada a la duración de las inversiones realizadas por la contratante conforme al Acuerdo Privado de Inversión. En consecuencia, este Contrato se mantendrá vigente mientras exista al menos una inversión activa de la contratante, y culminará en la fecha efectiva de terminación de la última inversión colocada en su favor.</w:t>
      </w:r>
    </w:p>
    <w:p>
      <w:pPr>
        <w:pStyle w:val="normal1"/>
        <w:keepNext w:val="false"/>
        <w:keepLines w:val="false"/>
        <w:pageBreakBefore w:val="false"/>
        <w:widowControl w:val="false"/>
        <w:pBdr/>
        <w:shd w:val="clear" w:fill="auto"/>
        <w:spacing w:lineRule="auto" w:line="276" w:before="198"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Para todos los efectos relacionados con la terminación anticipada o supuestos especiales, las Partes acuerdan que serán aplicables, en lo conducente, las estipulaciones sobre terminación contenidas en el Acuerdo Privado de Inversión, prevaleciendo dichas disposiciones en caso de contradicción o duda interpretativa.</w:t>
      </w:r>
    </w:p>
    <w:p>
      <w:pPr>
        <w:pStyle w:val="normal1"/>
        <w:keepNext w:val="false"/>
        <w:keepLines w:val="false"/>
        <w:pageBreakBefore w:val="false"/>
        <w:widowControl w:val="false"/>
        <w:pBdr/>
        <w:shd w:val="clear" w:fill="auto"/>
        <w:spacing w:lineRule="auto" w:line="276" w:before="203" w:after="0"/>
        <w:ind w:hanging="0" w:left="566"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No obstante, la Contratista conservará el mandato y la facultad de continuar con la administración, gestión de cobro y ejecución de garantías respecto de las obligaciones que permanezcan pendientes de pago o en proceso de recuperación al momento de la terminación, hasta su conclusión definitiva, sin que ello implique una renovación del presente Contrato</w:t>
      </w:r>
    </w:p>
    <w:p>
      <w:pPr>
        <w:pStyle w:val="normal1"/>
        <w:keepNext w:val="false"/>
        <w:keepLines w:val="false"/>
        <w:pageBreakBefore w:val="false"/>
        <w:widowControl w:val="false"/>
        <w:pBdr/>
        <w:shd w:val="clear" w:fill="auto"/>
        <w:spacing w:lineRule="auto" w:line="276" w:before="198" w:after="0"/>
        <w:ind w:hanging="0" w:left="566"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Al momento de la terminación, la Contratista elaborará y remitirá a la contratante una liquidación final, detallando los saldos de capital, intereses, pagos recibidos, honorarios cobrados y obligaciones en trámite. Dicha liquidación se entenderá como cierre administrativo de la relación contractual, quedando únicamente pendientes de ejecución las acciones de cobro o recuperación que aún se encuentren en curso.</w:t>
      </w:r>
    </w:p>
    <w:p>
      <w:pPr>
        <w:pStyle w:val="normal1"/>
        <w:keepNext w:val="false"/>
        <w:keepLines w:val="false"/>
        <w:pageBreakBefore w:val="false"/>
        <w:widowControl w:val="false"/>
        <w:pBdr/>
        <w:shd w:val="clear" w:fill="auto"/>
        <w:spacing w:lineRule="auto" w:line="240" w:before="201"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SEXTA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EXCLUSIVIDAD Y NO ELUSIÓN.</w:t>
      </w:r>
    </w:p>
    <w:p>
      <w:pPr>
        <w:pStyle w:val="normal1"/>
        <w:keepNext w:val="false"/>
        <w:keepLines w:val="false"/>
        <w:pageBreakBefore w:val="false"/>
        <w:widowControl w:val="false"/>
        <w:pBdr/>
        <w:shd w:val="clear" w:fill="auto"/>
        <w:spacing w:lineRule="auto" w:line="276" w:before="241" w:after="0"/>
        <w:ind w:hanging="0" w:left="566"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Las Partes convienen que el presente Contrato otorga a la Contratista el carácter de administrador exclusivo de las inversiones de la contratante derivadas del Acuerdo Privado de Inversión. En consecuencia, la contratante no podrá, durante la vigencia del presente Contrato, contratar con terceros los servicios objeto del mismo ni realizar por sí misma, directa o indirectamente, las actividades de gestión de cobro, recepción de pagos o administración de garantías correspondientes a sus inversiones.</w:t>
      </w:r>
    </w:p>
    <w:p>
      <w:pPr>
        <w:pStyle w:val="normal1"/>
        <w:keepNext w:val="false"/>
        <w:keepLines w:val="false"/>
        <w:pageBreakBefore w:val="false"/>
        <w:widowControl w:val="false"/>
        <w:pBdr/>
        <w:shd w:val="clear" w:fill="auto"/>
        <w:spacing w:lineRule="auto" w:line="276" w:before="201"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Por su parte, la Contratista mantiene plena libertad para prestar sus servicios a otros inversionistas, deudores o terceros sin limitación alguna.</w:t>
      </w:r>
    </w:p>
    <w:p>
      <w:pPr>
        <w:pStyle w:val="normal1"/>
        <w:keepNext w:val="false"/>
        <w:keepLines w:val="false"/>
        <w:pageBreakBefore w:val="false"/>
        <w:widowControl w:val="false"/>
        <w:pBdr/>
        <w:shd w:val="clear" w:fill="auto"/>
        <w:spacing w:lineRule="auto" w:line="276" w:before="199" w:after="0"/>
        <w:ind w:hanging="0" w:left="566" w:right="272"/>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se obliga, durante todo el plazo de este Contrato, a no eludir ni obviar el pago de los honorarios de la Contratista establecidos en la cláusula segunda. Cualquier pago que el Deudor realicen directamente a la contratante se considerará, para efectos de cálculo de honorarios, como si hubiera sido recibido por la Contratista, y dará derecho a esta última a retener y cobrar los honorarios pactados, aun cuando no hubiera intervenido directamente en la gestión de cobro.</w:t>
      </w:r>
    </w:p>
    <w:p>
      <w:pPr>
        <w:pStyle w:val="normal1"/>
        <w:keepNext w:val="false"/>
        <w:keepLines w:val="false"/>
        <w:pageBreakBefore w:val="false"/>
        <w:widowControl w:val="false"/>
        <w:pBdr/>
        <w:shd w:val="clear" w:fill="auto"/>
        <w:spacing w:lineRule="auto" w:line="276" w:before="201" w:after="0"/>
        <w:ind w:hanging="0" w:left="566" w:right="26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caso de incumplimiento de la presente cláusula, la contratante se obliga a pagar a la Contratista, en concepto de penalidad, una suma equivalente a los intereses proyectados pendientes que la inversión debía reconocer a favor de la Contratista durante el plazo restante de la misma, sin perjuicio de los honorarios ya devengados y de las demás acciones legales que pudieran corresponder.</w:t>
      </w:r>
    </w:p>
    <w:p>
      <w:pPr>
        <w:pStyle w:val="normal1"/>
        <w:keepNext w:val="false"/>
        <w:keepLines w:val="false"/>
        <w:pageBreakBefore w:val="false"/>
        <w:widowControl w:val="false"/>
        <w:pBdr/>
        <w:shd w:val="clear" w:fill="auto"/>
        <w:spacing w:lineRule="auto" w:line="276" w:before="201" w:after="0"/>
        <w:ind w:hanging="0" w:left="566"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SÉPTIMA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CESIÓN DE DERECHOS. Las partes podrán ceder, enajenar o gravar, en todo o en parte, los derechos y obligaciones derivados del presente Contrato, para lo cual se requerirá la aceptación por escrito de la otra parte. En caso de cesión de los derechos contractuales, el cesionario no podrá variar o modificar el presente Contrato, salvo que lo acuerde por escrito con la contratante.</w:t>
      </w:r>
    </w:p>
    <w:p>
      <w:pPr>
        <w:pStyle w:val="normal1"/>
        <w:keepNext w:val="false"/>
        <w:keepLines w:val="false"/>
        <w:pageBreakBefore w:val="false"/>
        <w:widowControl w:val="false"/>
        <w:pBdr/>
        <w:shd w:val="clear" w:fill="auto"/>
        <w:spacing w:lineRule="auto" w:line="276" w:before="201" w:after="0"/>
        <w:ind w:hanging="0" w:left="566" w:right="27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No obstante, la contratante podrá ceder sus inversiones particulares según desee, para el efecto se estará a lo dispuesto en el Acuerdo de Inversión. Cualquier cesión que se realice por las inversiones de la contratista, se hará bajo el entendido de que el contrato aquí contenido, también será cedido.</w:t>
      </w:r>
    </w:p>
    <w:p>
      <w:pPr>
        <w:pStyle w:val="normal1"/>
        <w:keepNext w:val="false"/>
        <w:keepLines w:val="false"/>
        <w:pageBreakBefore w:val="false"/>
        <w:widowControl w:val="false"/>
        <w:pBdr/>
        <w:shd w:val="clear" w:fill="auto"/>
        <w:spacing w:lineRule="auto" w:line="276" w:before="199" w:after="0"/>
        <w:ind w:hanging="0" w:left="566" w:right="26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OCTAVA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TERMINACIÓN. El presente Contrato de Prestación de Servicios se regirá, en lo relativo a su terminación, por las disposiciones establecidas en el Acuerdo Privado de Inversión, del cual forma parte complementaria. En consecuencia, la terminación del Acuerdo implicará automáticamente la terminación del presente Contrato, y viceversa, sin necesidad de notificación adicional.</w:t>
      </w:r>
    </w:p>
    <w:p>
      <w:pPr>
        <w:pStyle w:val="normal1"/>
        <w:keepNext w:val="false"/>
        <w:keepLines w:val="false"/>
        <w:pageBreakBefore w:val="false"/>
        <w:widowControl w:val="false"/>
        <w:pBdr/>
        <w:shd w:val="clear" w:fill="auto"/>
        <w:spacing w:lineRule="auto" w:line="276" w:before="199" w:after="0"/>
        <w:ind w:hanging="0" w:left="566" w:right="272"/>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Si la terminación se produce porque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decide administrar directamente su cartera de inversiones o encomendarla a un tercero distinto de la Contratista, dicha terminación se considerará como terminación unilateral sin causa por parte de la contratante, y dará lugar a la aplicación de la penalidad prevista en el Acuerdo de Inversión, equivalente a los intereses proyectados pendientes que la inversión debía reconocer en favor de la Contratista. La Contratista tendrá derecho a exigir el pago de dicha penalidad, además de los honorarios adeudados a la fecha de terminación.</w:t>
      </w:r>
    </w:p>
    <w:p>
      <w:pPr>
        <w:pStyle w:val="normal1"/>
        <w:keepNext w:val="false"/>
        <w:keepLines w:val="false"/>
        <w:pageBreakBefore w:val="false"/>
        <w:widowControl w:val="false"/>
        <w:pBdr/>
        <w:shd w:val="clear" w:fill="auto"/>
        <w:spacing w:lineRule="auto" w:line="276" w:before="200" w:after="0"/>
        <w:ind w:hanging="0" w:left="566" w:right="27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No obstante, lo anterior, en caso de terminación, la Contratista elaborará la liquidación final de los servicios prestados hasta la fecha de conclusión efectiva y conservará la facultad de continuar con la gestión de cobros o ejecución de garantías que se encuentren en trámite, hasta su total conclusión, sin que ello implique prórroga o renovación del Contrato.</w:t>
      </w:r>
    </w:p>
    <w:p>
      <w:pPr>
        <w:pStyle w:val="normal1"/>
        <w:keepNext w:val="false"/>
        <w:keepLines w:val="false"/>
        <w:pageBreakBefore w:val="false"/>
        <w:widowControl w:val="false"/>
        <w:pBdr/>
        <w:shd w:val="clear" w:fill="auto"/>
        <w:spacing w:lineRule="auto" w:line="276" w:before="201" w:after="0"/>
        <w:ind w:hanging="0" w:left="566" w:right="271"/>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Las estipulaciones que, por su naturaleza, deban subsistir después de la terminación, permanecerán vigentes, incluyendo, pero no limitándose a: obligaciones fiscales, exclusividad y no elusión, confidencialidad, responsabilidades pendientes, penalidades y solución de controversias.</w:t>
      </w:r>
    </w:p>
    <w:p>
      <w:pPr>
        <w:pStyle w:val="normal1"/>
        <w:keepNext w:val="false"/>
        <w:keepLines w:val="false"/>
        <w:pageBreakBefore w:val="false"/>
        <w:widowControl w:val="false"/>
        <w:pBdr/>
        <w:shd w:val="clear" w:fill="auto"/>
        <w:spacing w:lineRule="auto" w:line="276" w:before="200" w:after="0"/>
        <w:ind w:hanging="0" w:left="566" w:right="26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NOVENA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GARANTÍA: En las inversiones realizadas bajo el presente Contrato que correspondan a la modalidad de financiamiento para la adquisición de vehículos, las Partes acuerdan que, con la firma de cada Contrato de Deuda, Cube Investments, Sociedad Anónima instruirá irrevocablemente a la entidad RDBE, Sociedad Anónima (la “Garante”) para que constituya a favor de la contratante la garantía mobiliaria sobre los vehículos adquiridos con los fondos aportados por la contratante, conforme a la legislación aplicable, salvo que acuerde que dicha garantía se constituya a favor de Cube Investments, Sociedad Anónima a solicitud expresa del inversionista.</w:t>
      </w:r>
    </w:p>
    <w:p>
      <w:pPr>
        <w:pStyle w:val="normal1"/>
        <w:keepNext w:val="false"/>
        <w:keepLines w:val="false"/>
        <w:pageBreakBefore w:val="false"/>
        <w:widowControl w:val="false"/>
        <w:pBdr/>
        <w:shd w:val="clear" w:fill="auto"/>
        <w:spacing w:lineRule="auto" w:line="276" w:before="200" w:after="0"/>
        <w:ind w:hanging="0" w:left="566"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constitución e inscripción de dichas garantías mobiliarias se formalizará en los respectivos contratos de garantía mobiliaria, los cuales contendrán las estipulaciones específicas que regirán la garantía constituida.</w:t>
      </w:r>
    </w:p>
    <w:p>
      <w:pPr>
        <w:pStyle w:val="normal1"/>
        <w:keepNext w:val="false"/>
        <w:keepLines w:val="false"/>
        <w:pageBreakBefore w:val="false"/>
        <w:widowControl w:val="false"/>
        <w:pBdr/>
        <w:shd w:val="clear" w:fill="auto"/>
        <w:spacing w:lineRule="auto" w:line="276" w:before="201" w:after="0"/>
        <w:ind w:hanging="0" w:left="566" w:right="27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En el caso de inversiones realizadas mediante la modalidad de cesión de créditos en cartera activa,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acepta expresamente recibir los créditos en el estado en que se encuentren, incluyendo las garantías ya constituidas, pudiendo, en su caso, constituirse a su favor en segundo rango.</w:t>
      </w:r>
    </w:p>
    <w:p>
      <w:pPr>
        <w:pStyle w:val="normal1"/>
        <w:keepNext w:val="false"/>
        <w:keepLines w:val="false"/>
        <w:pageBreakBefore w:val="false"/>
        <w:widowControl w:val="false"/>
        <w:pBdr/>
        <w:shd w:val="clear" w:fill="auto"/>
        <w:spacing w:lineRule="auto" w:line="276" w:before="199"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Cube Investments, S.A. no asume la calidad de garante ni se obliga a constituir directamente garantías mobiliarias, limitándose a instruir a la Garante para que lo haga conforme a lo establecido en el presente Contrato.</w:t>
      </w:r>
    </w:p>
    <w:p>
      <w:pPr>
        <w:pStyle w:val="normal1"/>
        <w:keepNext w:val="false"/>
        <w:keepLines w:val="false"/>
        <w:pageBreakBefore w:val="false"/>
        <w:widowControl w:val="false"/>
        <w:pBdr/>
        <w:shd w:val="clear" w:fill="auto"/>
        <w:spacing w:lineRule="auto" w:line="240" w:before="201"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DÉCIMA: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LIMITACIÓN DE RESPONSABILIDADES E INDEMNIDAD. Salvo lo expresamente</w:t>
      </w:r>
    </w:p>
    <w:p>
      <w:pPr>
        <w:pStyle w:val="normal1"/>
        <w:keepNext w:val="false"/>
        <w:keepLines w:val="false"/>
        <w:pageBreakBefore w:val="false"/>
        <w:widowControl w:val="false"/>
        <w:pBdr/>
        <w:shd w:val="clear" w:fill="auto"/>
        <w:spacing w:lineRule="auto" w:line="276" w:before="39"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establecido en el Acuerdo Privado de Inversión, la Contratista no tendrá responsabilidad alguna por daños indirectos o consecuenciales, incluyendo, sin limitación, lucro cesante, incobrabilidad de intereses, pérdida de garantías, sentencias condenatorias o cualquier otro costo o gasto en que incurra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en relación con el presente Contrato.</w:t>
      </w:r>
    </w:p>
    <w:p>
      <w:pPr>
        <w:pStyle w:val="normal1"/>
        <w:keepNext w:val="false"/>
        <w:keepLines w:val="false"/>
        <w:pageBreakBefore w:val="false"/>
        <w:widowControl w:val="false"/>
        <w:pBdr/>
        <w:shd w:val="clear" w:fill="auto"/>
        <w:spacing w:lineRule="auto" w:line="276" w:before="100" w:after="0"/>
        <w:ind w:hanging="0" w:left="566" w:right="27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Inversionista reconoce y acepta que toda inversión conlleva riesgos inherentes, tales como incumplimiento o mora del Deudor, fluctuaciones de mercado, pérdida parcial o total del capital, o inejecución de garantías, por lo que mantendrá indemnes y libres de toda responsabilidad a Cube Investments, S.A., RDBE, S.A., sus representantes, personeros, filiales, subsidiarias y empresas relacionadas, frente a cualquier acción, reclamo, procedimiento, daño, costo o gasto (incluyendo honorarios legales y costas judiciales) que se derive directa o indirectamente de dichos riesgos.</w:t>
      </w:r>
    </w:p>
    <w:p>
      <w:pPr>
        <w:pStyle w:val="normal1"/>
        <w:keepNext w:val="false"/>
        <w:keepLines w:val="false"/>
        <w:pageBreakBefore w:val="false"/>
        <w:widowControl w:val="false"/>
        <w:pBdr/>
        <w:shd w:val="clear" w:fill="auto"/>
        <w:spacing w:lineRule="auto" w:line="276" w:before="201"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ningún caso Cube Investments, S.A. ni RDBE, S.A. asumirán responsabilidad por pérdidas derivadas de la mora, incumplimiento o insolvencia del Deudor, ni por eventos de caso fortuito o fuerza mayor, entendidos estos como aquellos sucesos imprevisibles o inevitables fuera del control razonable de la Contratista, tales como crisis financieras, cambios regulatorios, reformas legales, catástrofes naturales, conflictos sociales, pandemias u otros de naturaleza semejante.</w:t>
      </w:r>
    </w:p>
    <w:p>
      <w:pPr>
        <w:pStyle w:val="normal1"/>
        <w:keepNext w:val="false"/>
        <w:keepLines w:val="false"/>
        <w:pageBreakBefore w:val="false"/>
        <w:widowControl w:val="false"/>
        <w:pBdr/>
        <w:shd w:val="clear" w:fill="auto"/>
        <w:spacing w:lineRule="auto" w:line="276" w:before="201"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responsabilidad de Cube Investments, S.A. quedará limitada exclusivamente a casos de dolo o negligencia grave debidamente comprobada en la administración de las inversiones.</w:t>
      </w:r>
    </w:p>
    <w:p>
      <w:pPr>
        <w:pStyle w:val="normal1"/>
        <w:keepNext w:val="false"/>
        <w:keepLines w:val="false"/>
        <w:pageBreakBefore w:val="false"/>
        <w:widowControl w:val="false"/>
        <w:pBdr/>
        <w:shd w:val="clear" w:fill="auto"/>
        <w:spacing w:lineRule="auto" w:line="240" w:before="20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DÉCIMA PRIMERA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CONFIDENCIALIDAD Y USO RESTRINGIDO DE INFORMACIÓN: Las</w:t>
      </w:r>
    </w:p>
    <w:p>
      <w:pPr>
        <w:pStyle w:val="normal1"/>
        <w:keepNext w:val="false"/>
        <w:keepLines w:val="false"/>
        <w:pageBreakBefore w:val="false"/>
        <w:widowControl w:val="false"/>
        <w:pBdr/>
        <w:shd w:val="clear" w:fill="auto"/>
        <w:spacing w:lineRule="auto" w:line="276" w:before="39" w:after="0"/>
        <w:ind w:hanging="0" w:left="566"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Partes acuerdan que toda información a la que tengan acceso en virtud del presente Contrato, del Acuerdo Privado de Inversión, de los Contratos de Deuda o de cualquier otro documento relacionado con las inversiones, será considerada estrictamente confidencial.</w:t>
      </w:r>
    </w:p>
    <w:p>
      <w:pPr>
        <w:pStyle w:val="normal1"/>
        <w:keepNext w:val="false"/>
        <w:keepLines w:val="false"/>
        <w:pageBreakBefore w:val="false"/>
        <w:widowControl w:val="false"/>
        <w:pBdr/>
        <w:shd w:val="clear" w:fill="auto"/>
        <w:spacing w:lineRule="auto" w:line="240" w:before="20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particular, se considerará información confidencial, sin limitación:</w:t>
      </w:r>
    </w:p>
    <w:p>
      <w:pPr>
        <w:pStyle w:val="normal1"/>
        <w:keepNext w:val="false"/>
        <w:keepLines w:val="false"/>
        <w:pageBreakBefore w:val="false"/>
        <w:widowControl w:val="false"/>
        <w:numPr>
          <w:ilvl w:val="0"/>
          <w:numId w:val="1"/>
        </w:numPr>
        <w:pBdr/>
        <w:shd w:val="clear" w:fill="auto"/>
        <w:tabs>
          <w:tab w:val="left" w:pos="720" w:leader="none"/>
        </w:tabs>
        <w:spacing w:lineRule="auto" w:line="240" w:before="240" w:after="0"/>
        <w:ind w:hanging="360" w:left="72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Los datos financieros, comerciales y personales de los inversionistas y del Deudor.</w:t>
      </w:r>
    </w:p>
    <w:p>
      <w:pPr>
        <w:pStyle w:val="normal1"/>
        <w:keepNext w:val="false"/>
        <w:keepLines w:val="false"/>
        <w:pageBreakBefore w:val="false"/>
        <w:widowControl w:val="false"/>
        <w:numPr>
          <w:ilvl w:val="0"/>
          <w:numId w:val="1"/>
        </w:numPr>
        <w:pBdr/>
        <w:shd w:val="clear" w:fill="auto"/>
        <w:tabs>
          <w:tab w:val="left" w:pos="720" w:leader="none"/>
        </w:tabs>
        <w:spacing w:lineRule="auto" w:line="240" w:before="241" w:after="0"/>
        <w:ind w:hanging="360" w:left="72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Los términos y condiciones de las inversiones y contratos de deuda.</w:t>
      </w:r>
    </w:p>
    <w:p>
      <w:pPr>
        <w:pStyle w:val="normal1"/>
        <w:keepNext w:val="false"/>
        <w:keepLines w:val="false"/>
        <w:pageBreakBefore w:val="false"/>
        <w:widowControl w:val="false"/>
        <w:numPr>
          <w:ilvl w:val="0"/>
          <w:numId w:val="1"/>
        </w:numPr>
        <w:pBdr/>
        <w:shd w:val="clear" w:fill="auto"/>
        <w:tabs>
          <w:tab w:val="left" w:pos="720" w:leader="none"/>
        </w:tabs>
        <w:spacing w:lineRule="auto" w:line="240" w:before="240" w:after="0"/>
        <w:ind w:hanging="360" w:left="72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Los estados de cuenta, registros, reportes de pagos y gestiones de cobro.</w:t>
      </w:r>
    </w:p>
    <w:p>
      <w:pPr>
        <w:pStyle w:val="normal1"/>
        <w:keepNext w:val="false"/>
        <w:keepLines w:val="false"/>
        <w:pageBreakBefore w:val="false"/>
        <w:widowControl w:val="false"/>
        <w:numPr>
          <w:ilvl w:val="0"/>
          <w:numId w:val="1"/>
        </w:numPr>
        <w:pBdr/>
        <w:shd w:val="clear" w:fill="auto"/>
        <w:tabs>
          <w:tab w:val="left" w:pos="720" w:leader="none"/>
        </w:tabs>
        <w:spacing w:lineRule="auto" w:line="240" w:before="238" w:after="0"/>
        <w:ind w:hanging="360" w:left="72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Las metodologías, procesos, know-how y estrategias utilizadas por Cube Investments,</w:t>
      </w:r>
    </w:p>
    <w:p>
      <w:pPr>
        <w:pStyle w:val="normal1"/>
        <w:keepNext w:val="false"/>
        <w:keepLines w:val="false"/>
        <w:pageBreakBefore w:val="false"/>
        <w:widowControl w:val="false"/>
        <w:pBdr/>
        <w:shd w:val="clear" w:fill="auto"/>
        <w:spacing w:lineRule="auto" w:line="240" w:before="41" w:after="0"/>
        <w:ind w:hanging="0" w:left="72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S.A. y RDBE, S.A.</w:t>
      </w:r>
    </w:p>
    <w:p>
      <w:pPr>
        <w:pStyle w:val="normal1"/>
        <w:keepNext w:val="false"/>
        <w:keepLines w:val="false"/>
        <w:pageBreakBefore w:val="false"/>
        <w:widowControl w:val="false"/>
        <w:pBdr/>
        <w:shd w:val="clear" w:fill="auto"/>
        <w:spacing w:lineRule="auto" w:line="276" w:before="241" w:after="0"/>
        <w:ind w:hanging="0" w:left="566" w:right="275"/>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se obliga a no divulgar ni compartir dicha información con terceros, salvo autorización expresa y por escrito de Cube Investments, S.A., o cuando la divulgación sea requerida por ley, autoridad competente o resolución judicial.</w:t>
      </w:r>
    </w:p>
    <w:p>
      <w:pPr>
        <w:pStyle w:val="normal1"/>
        <w:keepNext w:val="false"/>
        <w:keepLines w:val="false"/>
        <w:pageBreakBefore w:val="false"/>
        <w:widowControl w:val="false"/>
        <w:pBdr/>
        <w:shd w:val="clear" w:fill="auto"/>
        <w:spacing w:lineRule="auto" w:line="276" w:before="199" w:after="0"/>
        <w:ind w:hanging="0" w:left="566" w:right="271"/>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Asimismo, </w:t>
      </w:r>
      <w:r>
        <w:rPr>
          <w:sz w:val="20"/>
          <w:szCs w:val="20"/>
        </w:rPr>
        <w:t>la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contratante se obliga a no utilizar la información confidencial para fines distintos a los contemplados en este Contrato y en el Acuerdo de Inversión, ni para desarrollar, directa o indirectamente, actividades o negocios que compitan con los de Cube Investments, S.A. o RDBE, S.A.</w:t>
      </w:r>
    </w:p>
    <w:p>
      <w:pPr>
        <w:pStyle w:val="normal1"/>
        <w:keepNext w:val="false"/>
        <w:keepLines w:val="false"/>
        <w:pageBreakBefore w:val="false"/>
        <w:widowControl w:val="false"/>
        <w:pBdr/>
        <w:shd w:val="clear" w:fill="auto"/>
        <w:spacing w:lineRule="auto" w:line="276" w:before="100" w:after="0"/>
        <w:ind w:hanging="0" w:left="566" w:right="278"/>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obligación de confidencialidad y de no uso competitivo subsistirá de manera indefinida, incluso después de la terminación del presente Contrato.</w:t>
      </w:r>
    </w:p>
    <w:p>
      <w:pPr>
        <w:pStyle w:val="normal1"/>
        <w:keepNext w:val="false"/>
        <w:keepLines w:val="false"/>
        <w:pageBreakBefore w:val="false"/>
        <w:widowControl w:val="false"/>
        <w:pBdr/>
        <w:shd w:val="clear" w:fill="auto"/>
        <w:spacing w:lineRule="auto" w:line="276" w:before="200" w:after="0"/>
        <w:ind w:hanging="0" w:left="566" w:right="276"/>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El incumplimiento de lo dispuesto en la presente cláusula facultará a la Contratista a reclamar los daños y perjuicios ocasionados, así como a ejercer las acciones legales que correspondan.</w:t>
      </w:r>
    </w:p>
    <w:p>
      <w:pPr>
        <w:pStyle w:val="normal1"/>
        <w:keepNext w:val="false"/>
        <w:keepLines w:val="false"/>
        <w:pageBreakBefore w:val="false"/>
        <w:widowControl w:val="false"/>
        <w:pBdr/>
        <w:shd w:val="clear" w:fill="auto"/>
        <w:spacing w:lineRule="auto" w:line="276" w:before="200" w:after="0"/>
        <w:ind w:hanging="0" w:left="566" w:right="273"/>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DÉCIMA SEGUNDA: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RESOLUCIÓN DE CONFLICTOS: Cualquier controversia, disputa, conflicto o reclamación que surja entre los firmantes del presente Contrato entre las partes, con relación a la aplicación, interpretación, ejecución, terminación y/o cumplimiento de este Contrato, ya sea durante su vigencia como luego de su terminación, deberá ser resuelta mediante negociación directa entre las partes dentro de los treinta</w:t>
      </w:r>
    </w:p>
    <w:p>
      <w:pPr>
        <w:pStyle w:val="normal1"/>
        <w:keepNext w:val="false"/>
        <w:keepLines w:val="false"/>
        <w:pageBreakBefore w:val="false"/>
        <w:widowControl w:val="false"/>
        <w:pBdr/>
        <w:shd w:val="clear" w:fill="auto"/>
        <w:spacing w:lineRule="auto" w:line="276" w:before="0" w:after="0"/>
        <w:ind w:hanging="0" w:left="566" w:right="269"/>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(30) días calendario a partir de que la parte afectada comunique a la otra parte su reclamo. Las partes de común acuerdo podrán nombrar un mediador para resolver la disputa dentro del período de negociación. En caso no se llegue a un acuerdo en la negociación dentro de los treinta (30) días calendario a partir de que la parte afectada comunique a la otra parte su reclamo, las partes se obligan a someter la controversia, disputa, conflicto o reclamación a la jurisdicción de los Tribunales de Justicia Ordinarios de la República de Guatemala.</w:t>
      </w:r>
    </w:p>
    <w:p>
      <w:pPr>
        <w:pStyle w:val="normal1"/>
        <w:keepNext w:val="false"/>
        <w:keepLines w:val="false"/>
        <w:pageBreakBefore w:val="false"/>
        <w:widowControl w:val="false"/>
        <w:pBdr/>
        <w:shd w:val="clear" w:fill="auto"/>
        <w:spacing w:lineRule="auto" w:line="276" w:before="201" w:after="0"/>
        <w:ind w:hanging="0" w:left="566"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DÉCIMA TERCERA: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LEY APLICABLE. El presente contrato se interpretará y regirá según las leyes vigentes de la República de Guatemala.</w:t>
      </w:r>
    </w:p>
    <w:p>
      <w:pPr>
        <w:pStyle w:val="normal1"/>
        <w:keepNext w:val="false"/>
        <w:keepLines w:val="false"/>
        <w:pageBreakBefore w:val="false"/>
        <w:widowControl w:val="false"/>
        <w:pBdr/>
        <w:shd w:val="clear" w:fill="auto"/>
        <w:tabs>
          <w:tab w:val="clear" w:pos="720"/>
          <w:tab w:val="left" w:pos="5734" w:leader="none"/>
        </w:tabs>
        <w:spacing w:lineRule="auto" w:line="276" w:before="200" w:after="0"/>
        <w:ind w:hanging="0" w:left="566" w:right="27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DÉCIMA CUARTA</w:t>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ACEPTACIÓN Y CONFORMIDAD. Los otorgantes en las calidades en que actuamos, expresamente aceptamos el presente contrato y aceptamos: I) todo lo relacionado; II) que se tuvo a la vista la documentación de identificación citada; y III) que habiendo leído por nosotros mismos, íntegramente este contrato, y bien impuestos de su contenido, objeto, validez y efectos legales, así como de los demás documentos a los que se hace referencia en el mismo, lo aceptamos, ratificamos y firmamos en las calidades con las que actuamos, en la ciudad de Guatemala, el {diaTexto} de {mesTexto} de dos mil {anoTexto}.</w:t>
      </w:r>
    </w:p>
    <w:p>
      <w:pPr>
        <w:pStyle w:val="normal1"/>
        <w:keepNext w:val="false"/>
        <w:keepLines w:val="false"/>
        <w:pageBreakBefore w:val="false"/>
        <w:widowControl w:val="false"/>
        <w:pBdr/>
        <w:shd w:val="clear" w:fill="auto"/>
        <w:spacing w:lineRule="auto" w:line="240" w:before="0"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175"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175"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tabs>
          <w:tab w:val="clear" w:pos="720"/>
          <w:tab w:val="left" w:pos="3806" w:leader="none"/>
          <w:tab w:val="left" w:pos="4860" w:leader="none"/>
          <w:tab w:val="left" w:pos="8098" w:leader="none"/>
        </w:tabs>
        <w:spacing w:lineRule="auto" w:line="240" w:before="0" w:after="0"/>
        <w:ind w:hanging="0" w:left="566" w:right="538"/>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f)</w:t>
      </w: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ab/>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ab/>
        <w:t>f)</w:t>
      </w: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ab/>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 POR CUBE INVESTMENTS, S.A.</w:t>
        <w:tab/>
        <w:tab/>
        <w:t xml:space="preserve"> POR RDBE, S.A.</w:t>
      </w:r>
    </w:p>
    <w:p>
      <w:pPr>
        <w:pStyle w:val="normal1"/>
        <w:keepNext w:val="false"/>
        <w:keepLines w:val="false"/>
        <w:pageBreakBefore w:val="false"/>
        <w:widowControl w:val="false"/>
        <w:pBdr/>
        <w:shd w:val="clear" w:fill="auto"/>
        <w:spacing w:lineRule="auto" w:line="240" w:before="240"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240"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tabs>
          <w:tab w:val="clear" w:pos="720"/>
          <w:tab w:val="left" w:pos="3779" w:leader="none"/>
        </w:tabs>
        <w:spacing w:lineRule="auto" w:line="240" w:before="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singl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 xml:space="preserve">f) </w:t>
      </w:r>
      <w:r>
        <w:rPr>
          <w:rFonts w:eastAsia="Quattrocento Sans" w:cs="Quattrocento Sans"/>
          <w:b w:val="false"/>
          <w:bCs w:val="false"/>
          <w:i w:val="false"/>
          <w:iCs w:val="false"/>
          <w:caps w:val="false"/>
          <w:smallCaps w:val="false"/>
          <w:strike w:val="false"/>
          <w:dstrike w:val="false"/>
          <w:color w:val="000000"/>
          <w:position w:val="0"/>
          <w:sz w:val="20"/>
          <w:sz w:val="20"/>
          <w:szCs w:val="20"/>
          <w:u w:val="single"/>
          <w:shd w:fill="auto" w:val="clear"/>
          <w:vertAlign w:val="baseline"/>
        </w:rPr>
        <w:tab/>
      </w:r>
    </w:p>
    <w:p>
      <w:pPr>
        <w:pStyle w:val="normal1"/>
        <w:keepNext w:val="false"/>
        <w:keepLines w:val="false"/>
        <w:pageBreakBefore w:val="false"/>
        <w:widowControl w:val="false"/>
        <w:pBdr/>
        <w:shd w:val="clear" w:fill="auto"/>
        <w:tabs>
          <w:tab w:val="clear" w:pos="720"/>
          <w:tab w:val="left" w:pos="3779" w:leader="none"/>
        </w:tabs>
        <w:spacing w:lineRule="auto" w:line="240" w:before="0" w:after="0"/>
        <w:ind w:hanging="0" w:left="566"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sdt>
        <w:sdtPr>
          <w:tag w:val="goog_rdk_14"/>
          <w:id w:val="2138392450"/>
        </w:sdtPr>
        <w:sdtContent>
          <w:r>
            <w:rPr/>
          </w:r>
          <w:r>
            <w:rPr/>
          </w:r>
        </w:sdtContent>
      </w:sdt>
      <w:sdt>
        <w:sdtPr>
          <w:tag w:val="goog_rdk_14"/>
          <w:id w:val="11400935"/>
        </w:sdtPr>
        <w:sdtConten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w:t>
          </w:r>
        </w:sdtContent>
      </w:sdt>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nombreCompleto}</w:t>
      </w:r>
    </w:p>
    <w:p>
      <w:pPr>
        <w:pStyle w:val="normal1"/>
        <w:keepNext w:val="false"/>
        <w:keepLines w:val="false"/>
        <w:pageBreakBefore w:val="false"/>
        <w:widowControl w:val="false"/>
        <w:pBdr/>
        <w:shd w:val="clear" w:fill="auto"/>
        <w:spacing w:lineRule="auto" w:line="240" w:before="0" w:after="0"/>
        <w:ind w:hanging="0" w:left="294"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left="0" w:right="0"/>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r>
    </w:p>
    <w:sectPr>
      <w:headerReference w:type="even" r:id="rId2"/>
      <w:headerReference w:type="default" r:id="rId3"/>
      <w:headerReference w:type="first" r:id="rId4"/>
      <w:type w:val="nextPage"/>
      <w:pgSz w:w="12240" w:h="15840"/>
      <w:pgMar w:left="1800" w:right="1800" w:gutter="0" w:header="821" w:top="1880" w:footer="0" w:bottom="99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Quattrocento Sans">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font>
  <w:font w:name="Noto Sans Symbols">
    <w:charset w:val="01"/>
    <w:family w:val="swiss"/>
    <w:pitch w:val="variable"/>
    <w:embedRegular r:id="rId13" w:fontKey="{0D014A78-CABC-4EF0-12AC-5CD89AEFDE0D}"/>
    <w:embedBold r:id="rId14" w:fontKey="{0E014A78-CABC-4EF0-12AC-5CD89AEFDE0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12" w:before="0"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drawing>
        <wp:anchor behindDoc="1" distT="0" distB="0" distL="0" distR="0" simplePos="0" locked="0" layoutInCell="0" allowOverlap="1" relativeHeight="10">
          <wp:simplePos x="0" y="0"/>
          <wp:positionH relativeFrom="page">
            <wp:posOffset>1230630</wp:posOffset>
          </wp:positionH>
          <wp:positionV relativeFrom="page">
            <wp:posOffset>521335</wp:posOffset>
          </wp:positionV>
          <wp:extent cx="1882140" cy="590550"/>
          <wp:effectExtent l="0" t="0" r="0" b="0"/>
          <wp:wrapNone/>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882140" cy="59055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12" w:before="0" w:after="0"/>
      <w:ind w:hanging="0" w:left="0" w:right="0"/>
      <w:jc w:val="left"/>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drawing>
        <wp:anchor behindDoc="1" distT="0" distB="0" distL="0" distR="0" simplePos="0" locked="0" layoutInCell="0" allowOverlap="1" relativeHeight="10">
          <wp:simplePos x="0" y="0"/>
          <wp:positionH relativeFrom="page">
            <wp:posOffset>1230630</wp:posOffset>
          </wp:positionH>
          <wp:positionV relativeFrom="page">
            <wp:posOffset>521335</wp:posOffset>
          </wp:positionV>
          <wp:extent cx="1882140" cy="590550"/>
          <wp:effectExtent l="0" t="0" r="0" b="0"/>
          <wp:wrapNone/>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882140" cy="59055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Noto Sans Symbols" w:hAnsi="Noto Sans Symbols" w:cs="Noto Sans Symbols" w:hint="default"/>
        <w:sz w:val="20"/>
        <w:i w:val="false"/>
        <w:b w:val="false"/>
        <w:szCs w:val="20"/>
        <w:iCs w:val="false"/>
        <w:bCs w:val="false"/>
      </w:rPr>
    </w:lvl>
    <w:lvl w:ilvl="1">
      <w:start w:val="0"/>
      <w:numFmt w:val="bullet"/>
      <w:lvlText w:val=""/>
      <w:lvlJc w:val="left"/>
      <w:pPr>
        <w:tabs>
          <w:tab w:val="num" w:pos="0"/>
        </w:tabs>
        <w:ind w:left="1512" w:hanging="360"/>
      </w:pPr>
      <w:rPr>
        <w:rFonts w:ascii="Symbol" w:hAnsi="Symbol" w:cs="Symbol" w:hint="default"/>
      </w:rPr>
    </w:lvl>
    <w:lvl w:ilvl="2">
      <w:start w:val="0"/>
      <w:numFmt w:val="bullet"/>
      <w:lvlText w:val=""/>
      <w:lvlJc w:val="left"/>
      <w:pPr>
        <w:tabs>
          <w:tab w:val="num" w:pos="0"/>
        </w:tabs>
        <w:ind w:left="2304" w:hanging="360"/>
      </w:pPr>
      <w:rPr>
        <w:rFonts w:ascii="Symbol" w:hAnsi="Symbol" w:cs="Symbol" w:hint="default"/>
      </w:rPr>
    </w:lvl>
    <w:lvl w:ilvl="3">
      <w:start w:val="0"/>
      <w:numFmt w:val="bullet"/>
      <w:lvlText w:val=""/>
      <w:lvlJc w:val="left"/>
      <w:pPr>
        <w:tabs>
          <w:tab w:val="num" w:pos="0"/>
        </w:tabs>
        <w:ind w:left="3096" w:hanging="360"/>
      </w:pPr>
      <w:rPr>
        <w:rFonts w:ascii="Symbol" w:hAnsi="Symbol" w:cs="Symbol" w:hint="default"/>
      </w:rPr>
    </w:lvl>
    <w:lvl w:ilvl="4">
      <w:start w:val="0"/>
      <w:numFmt w:val="bullet"/>
      <w:lvlText w:val=""/>
      <w:lvlJc w:val="left"/>
      <w:pPr>
        <w:tabs>
          <w:tab w:val="num" w:pos="0"/>
        </w:tabs>
        <w:ind w:left="3888" w:hanging="360"/>
      </w:pPr>
      <w:rPr>
        <w:rFonts w:ascii="Symbol" w:hAnsi="Symbol" w:cs="Symbol" w:hint="default"/>
      </w:rPr>
    </w:lvl>
    <w:lvl w:ilvl="5">
      <w:start w:val="0"/>
      <w:numFmt w:val="bullet"/>
      <w:lvlText w:val=""/>
      <w:lvlJc w:val="left"/>
      <w:pPr>
        <w:tabs>
          <w:tab w:val="num" w:pos="0"/>
        </w:tabs>
        <w:ind w:left="4680" w:hanging="360"/>
      </w:pPr>
      <w:rPr>
        <w:rFonts w:ascii="Symbol" w:hAnsi="Symbol" w:cs="Symbol" w:hint="default"/>
      </w:rPr>
    </w:lvl>
    <w:lvl w:ilvl="6">
      <w:start w:val="0"/>
      <w:numFmt w:val="bullet"/>
      <w:lvlText w:val=""/>
      <w:lvlJc w:val="left"/>
      <w:pPr>
        <w:tabs>
          <w:tab w:val="num" w:pos="0"/>
        </w:tabs>
        <w:ind w:left="5472" w:hanging="360"/>
      </w:pPr>
      <w:rPr>
        <w:rFonts w:ascii="Symbol" w:hAnsi="Symbol" w:cs="Symbol" w:hint="default"/>
      </w:rPr>
    </w:lvl>
    <w:lvl w:ilvl="7">
      <w:start w:val="0"/>
      <w:numFmt w:val="bullet"/>
      <w:lvlText w:val=""/>
      <w:lvlJc w:val="left"/>
      <w:pPr>
        <w:tabs>
          <w:tab w:val="num" w:pos="0"/>
        </w:tabs>
        <w:ind w:left="6264" w:hanging="360"/>
      </w:pPr>
      <w:rPr>
        <w:rFonts w:ascii="Symbol" w:hAnsi="Symbol" w:cs="Symbol" w:hint="default"/>
      </w:rPr>
    </w:lvl>
    <w:lvl w:ilvl="8">
      <w:start w:val="0"/>
      <w:numFmt w:val="bullet"/>
      <w:lvlText w:val=""/>
      <w:lvlJc w:val="left"/>
      <w:pPr>
        <w:tabs>
          <w:tab w:val="num" w:pos="0"/>
        </w:tabs>
        <w:ind w:left="7056" w:hanging="360"/>
      </w:pPr>
      <w:rPr>
        <w:rFonts w:ascii="Symbol" w:hAnsi="Symbol" w:cs="Symbol" w:hint="default"/>
      </w:rPr>
    </w:lvl>
  </w:abstractNum>
  <w:abstractNum w:abstractNumId="2">
    <w:lvl w:ilvl="0">
      <w:start w:val="1"/>
      <w:numFmt w:val="decimal"/>
      <w:lvlText w:val="%1."/>
      <w:lvlJc w:val="left"/>
      <w:pPr>
        <w:tabs>
          <w:tab w:val="num" w:pos="0"/>
        </w:tabs>
        <w:ind w:left="926" w:hanging="360"/>
      </w:pPr>
      <w:rPr>
        <w:sz w:val="20"/>
        <w:i w:val="false"/>
        <w:b w:val="false"/>
        <w:szCs w:val="20"/>
        <w:iCs w:val="false"/>
        <w:bCs w:val="false"/>
        <w:rFonts w:ascii="Quattrocento Sans" w:hAnsi="Quattrocento Sans" w:eastAsia="Quattrocento Sans" w:cs="Quattrocento Sans"/>
      </w:rPr>
    </w:lvl>
    <w:lvl w:ilvl="1">
      <w:start w:val="1"/>
      <w:numFmt w:val="decimal"/>
      <w:lvlText w:val="%1.%2."/>
      <w:lvlJc w:val="left"/>
      <w:pPr>
        <w:tabs>
          <w:tab w:val="num" w:pos="0"/>
        </w:tabs>
        <w:ind w:left="926" w:hanging="410"/>
      </w:pPr>
      <w:rPr>
        <w:sz w:val="20"/>
        <w:i w:val="false"/>
        <w:b w:val="false"/>
        <w:szCs w:val="20"/>
        <w:iCs w:val="false"/>
        <w:bCs w:val="false"/>
        <w:rFonts w:ascii="Quattrocento Sans" w:hAnsi="Quattrocento Sans" w:eastAsia="Quattrocento Sans" w:cs="Quattrocento Sans"/>
      </w:rPr>
    </w:lvl>
    <w:lvl w:ilvl="2">
      <w:start w:val="0"/>
      <w:numFmt w:val="bullet"/>
      <w:lvlText w:val=""/>
      <w:lvlJc w:val="left"/>
      <w:pPr>
        <w:tabs>
          <w:tab w:val="num" w:pos="0"/>
        </w:tabs>
        <w:ind w:left="2464" w:hanging="410"/>
      </w:pPr>
      <w:rPr>
        <w:rFonts w:ascii="Symbol" w:hAnsi="Symbol" w:cs="Symbol" w:hint="default"/>
      </w:rPr>
    </w:lvl>
    <w:lvl w:ilvl="3">
      <w:start w:val="0"/>
      <w:numFmt w:val="bullet"/>
      <w:lvlText w:val=""/>
      <w:lvlJc w:val="left"/>
      <w:pPr>
        <w:tabs>
          <w:tab w:val="num" w:pos="0"/>
        </w:tabs>
        <w:ind w:left="3236" w:hanging="410"/>
      </w:pPr>
      <w:rPr>
        <w:rFonts w:ascii="Symbol" w:hAnsi="Symbol" w:cs="Symbol" w:hint="default"/>
      </w:rPr>
    </w:lvl>
    <w:lvl w:ilvl="4">
      <w:start w:val="0"/>
      <w:numFmt w:val="bullet"/>
      <w:lvlText w:val=""/>
      <w:lvlJc w:val="left"/>
      <w:pPr>
        <w:tabs>
          <w:tab w:val="num" w:pos="0"/>
        </w:tabs>
        <w:ind w:left="4008" w:hanging="410"/>
      </w:pPr>
      <w:rPr>
        <w:rFonts w:ascii="Symbol" w:hAnsi="Symbol" w:cs="Symbol" w:hint="default"/>
      </w:rPr>
    </w:lvl>
    <w:lvl w:ilvl="5">
      <w:start w:val="0"/>
      <w:numFmt w:val="bullet"/>
      <w:lvlText w:val=""/>
      <w:lvlJc w:val="left"/>
      <w:pPr>
        <w:tabs>
          <w:tab w:val="num" w:pos="0"/>
        </w:tabs>
        <w:ind w:left="4780" w:hanging="410"/>
      </w:pPr>
      <w:rPr>
        <w:rFonts w:ascii="Symbol" w:hAnsi="Symbol" w:cs="Symbol" w:hint="default"/>
      </w:rPr>
    </w:lvl>
    <w:lvl w:ilvl="6">
      <w:start w:val="0"/>
      <w:numFmt w:val="bullet"/>
      <w:lvlText w:val=""/>
      <w:lvlJc w:val="left"/>
      <w:pPr>
        <w:tabs>
          <w:tab w:val="num" w:pos="0"/>
        </w:tabs>
        <w:ind w:left="5552" w:hanging="410"/>
      </w:pPr>
      <w:rPr>
        <w:rFonts w:ascii="Symbol" w:hAnsi="Symbol" w:cs="Symbol" w:hint="default"/>
      </w:rPr>
    </w:lvl>
    <w:lvl w:ilvl="7">
      <w:start w:val="0"/>
      <w:numFmt w:val="bullet"/>
      <w:lvlText w:val=""/>
      <w:lvlJc w:val="left"/>
      <w:pPr>
        <w:tabs>
          <w:tab w:val="num" w:pos="0"/>
        </w:tabs>
        <w:ind w:left="6324" w:hanging="410"/>
      </w:pPr>
      <w:rPr>
        <w:rFonts w:ascii="Symbol" w:hAnsi="Symbol" w:cs="Symbol" w:hint="default"/>
      </w:rPr>
    </w:lvl>
    <w:lvl w:ilvl="8">
      <w:start w:val="0"/>
      <w:numFmt w:val="bullet"/>
      <w:lvlText w:val=""/>
      <w:lvlJc w:val="left"/>
      <w:pPr>
        <w:tabs>
          <w:tab w:val="num" w:pos="0"/>
        </w:tabs>
        <w:ind w:left="7096" w:hanging="410"/>
      </w:pPr>
      <w:rPr>
        <w:rFonts w:ascii="Symbol" w:hAnsi="Symbol" w:cs="Symbol" w:hint="default"/>
      </w:rPr>
    </w:lvl>
  </w:abstractNum>
  <w:abstractNum w:abstractNumId="3">
    <w:lvl w:ilvl="0">
      <w:start w:val="1"/>
      <w:numFmt w:val="decimal"/>
      <w:lvlText w:val="%1."/>
      <w:lvlJc w:val="left"/>
      <w:pPr>
        <w:tabs>
          <w:tab w:val="num" w:pos="0"/>
        </w:tabs>
        <w:ind w:left="720" w:hanging="360"/>
      </w:pPr>
      <w:rPr>
        <w:sz w:val="20"/>
        <w:i w:val="false"/>
        <w:b w:val="false"/>
        <w:szCs w:val="20"/>
        <w:iCs w:val="false"/>
        <w:bCs w:val="false"/>
        <w:rFonts w:ascii="Quattrocento Sans" w:hAnsi="Quattrocento Sans" w:eastAsia="Quattrocento Sans" w:cs="Quattrocento Sans"/>
      </w:rPr>
    </w:lvl>
    <w:lvl w:ilvl="1">
      <w:start w:val="0"/>
      <w:numFmt w:val="bullet"/>
      <w:lvlText w:val=""/>
      <w:lvlJc w:val="left"/>
      <w:pPr>
        <w:tabs>
          <w:tab w:val="num" w:pos="0"/>
        </w:tabs>
        <w:ind w:left="1512" w:hanging="360"/>
      </w:pPr>
      <w:rPr>
        <w:rFonts w:ascii="Symbol" w:hAnsi="Symbol" w:cs="Symbol" w:hint="default"/>
      </w:rPr>
    </w:lvl>
    <w:lvl w:ilvl="2">
      <w:start w:val="0"/>
      <w:numFmt w:val="bullet"/>
      <w:lvlText w:val=""/>
      <w:lvlJc w:val="left"/>
      <w:pPr>
        <w:tabs>
          <w:tab w:val="num" w:pos="0"/>
        </w:tabs>
        <w:ind w:left="2304" w:hanging="360"/>
      </w:pPr>
      <w:rPr>
        <w:rFonts w:ascii="Symbol" w:hAnsi="Symbol" w:cs="Symbol" w:hint="default"/>
      </w:rPr>
    </w:lvl>
    <w:lvl w:ilvl="3">
      <w:start w:val="0"/>
      <w:numFmt w:val="bullet"/>
      <w:lvlText w:val=""/>
      <w:lvlJc w:val="left"/>
      <w:pPr>
        <w:tabs>
          <w:tab w:val="num" w:pos="0"/>
        </w:tabs>
        <w:ind w:left="3096" w:hanging="360"/>
      </w:pPr>
      <w:rPr>
        <w:rFonts w:ascii="Symbol" w:hAnsi="Symbol" w:cs="Symbol" w:hint="default"/>
      </w:rPr>
    </w:lvl>
    <w:lvl w:ilvl="4">
      <w:start w:val="0"/>
      <w:numFmt w:val="bullet"/>
      <w:lvlText w:val=""/>
      <w:lvlJc w:val="left"/>
      <w:pPr>
        <w:tabs>
          <w:tab w:val="num" w:pos="0"/>
        </w:tabs>
        <w:ind w:left="3888" w:hanging="360"/>
      </w:pPr>
      <w:rPr>
        <w:rFonts w:ascii="Symbol" w:hAnsi="Symbol" w:cs="Symbol" w:hint="default"/>
      </w:rPr>
    </w:lvl>
    <w:lvl w:ilvl="5">
      <w:start w:val="0"/>
      <w:numFmt w:val="bullet"/>
      <w:lvlText w:val=""/>
      <w:lvlJc w:val="left"/>
      <w:pPr>
        <w:tabs>
          <w:tab w:val="num" w:pos="0"/>
        </w:tabs>
        <w:ind w:left="4680" w:hanging="360"/>
      </w:pPr>
      <w:rPr>
        <w:rFonts w:ascii="Symbol" w:hAnsi="Symbol" w:cs="Symbol" w:hint="default"/>
      </w:rPr>
    </w:lvl>
    <w:lvl w:ilvl="6">
      <w:start w:val="0"/>
      <w:numFmt w:val="bullet"/>
      <w:lvlText w:val=""/>
      <w:lvlJc w:val="left"/>
      <w:pPr>
        <w:tabs>
          <w:tab w:val="num" w:pos="0"/>
        </w:tabs>
        <w:ind w:left="5472" w:hanging="360"/>
      </w:pPr>
      <w:rPr>
        <w:rFonts w:ascii="Symbol" w:hAnsi="Symbol" w:cs="Symbol" w:hint="default"/>
      </w:rPr>
    </w:lvl>
    <w:lvl w:ilvl="7">
      <w:start w:val="0"/>
      <w:numFmt w:val="bullet"/>
      <w:lvlText w:val=""/>
      <w:lvlJc w:val="left"/>
      <w:pPr>
        <w:tabs>
          <w:tab w:val="num" w:pos="0"/>
        </w:tabs>
        <w:ind w:left="6264" w:hanging="360"/>
      </w:pPr>
      <w:rPr>
        <w:rFonts w:ascii="Symbol" w:hAnsi="Symbol" w:cs="Symbol" w:hint="default"/>
      </w:rPr>
    </w:lvl>
    <w:lvl w:ilvl="8">
      <w:start w:val="0"/>
      <w:numFmt w:val="bullet"/>
      <w:lvlText w:val=""/>
      <w:lvlJc w:val="left"/>
      <w:pPr>
        <w:tabs>
          <w:tab w:val="num" w:pos="0"/>
        </w:tabs>
        <w:ind w:left="7056" w:hanging="360"/>
      </w:pPr>
      <w:rPr>
        <w:rFonts w:ascii="Symbol" w:hAnsi="Symbol" w:cs="Symbol" w:hint="default"/>
      </w:rPr>
    </w:lvl>
  </w:abstractNum>
  <w:abstractNum w:abstractNumId="4">
    <w:lvl w:ilvl="0">
      <w:start w:val="1"/>
      <w:numFmt w:val="decimal"/>
      <w:lvlText w:val="%1."/>
      <w:lvlJc w:val="left"/>
      <w:pPr>
        <w:tabs>
          <w:tab w:val="num" w:pos="0"/>
        </w:tabs>
        <w:ind w:left="720" w:hanging="360"/>
      </w:pPr>
      <w:rPr>
        <w:sz w:val="20"/>
        <w:i w:val="false"/>
        <w:b w:val="false"/>
        <w:szCs w:val="20"/>
        <w:iCs w:val="false"/>
        <w:bCs w:val="false"/>
        <w:rFonts w:ascii="Quattrocento Sans" w:hAnsi="Quattrocento Sans" w:eastAsia="Quattrocento Sans" w:cs="Quattrocento Sans"/>
      </w:rPr>
    </w:lvl>
    <w:lvl w:ilvl="1">
      <w:start w:val="0"/>
      <w:numFmt w:val="bullet"/>
      <w:lvlText w:val=""/>
      <w:lvlJc w:val="left"/>
      <w:pPr>
        <w:tabs>
          <w:tab w:val="num" w:pos="0"/>
        </w:tabs>
        <w:ind w:left="1512" w:hanging="360"/>
      </w:pPr>
      <w:rPr>
        <w:rFonts w:ascii="Symbol" w:hAnsi="Symbol" w:cs="Symbol" w:hint="default"/>
      </w:rPr>
    </w:lvl>
    <w:lvl w:ilvl="2">
      <w:start w:val="0"/>
      <w:numFmt w:val="bullet"/>
      <w:lvlText w:val=""/>
      <w:lvlJc w:val="left"/>
      <w:pPr>
        <w:tabs>
          <w:tab w:val="num" w:pos="0"/>
        </w:tabs>
        <w:ind w:left="2304" w:hanging="360"/>
      </w:pPr>
      <w:rPr>
        <w:rFonts w:ascii="Symbol" w:hAnsi="Symbol" w:cs="Symbol" w:hint="default"/>
      </w:rPr>
    </w:lvl>
    <w:lvl w:ilvl="3">
      <w:start w:val="0"/>
      <w:numFmt w:val="bullet"/>
      <w:lvlText w:val=""/>
      <w:lvlJc w:val="left"/>
      <w:pPr>
        <w:tabs>
          <w:tab w:val="num" w:pos="0"/>
        </w:tabs>
        <w:ind w:left="3096" w:hanging="360"/>
      </w:pPr>
      <w:rPr>
        <w:rFonts w:ascii="Symbol" w:hAnsi="Symbol" w:cs="Symbol" w:hint="default"/>
      </w:rPr>
    </w:lvl>
    <w:lvl w:ilvl="4">
      <w:start w:val="0"/>
      <w:numFmt w:val="bullet"/>
      <w:lvlText w:val=""/>
      <w:lvlJc w:val="left"/>
      <w:pPr>
        <w:tabs>
          <w:tab w:val="num" w:pos="0"/>
        </w:tabs>
        <w:ind w:left="3888" w:hanging="360"/>
      </w:pPr>
      <w:rPr>
        <w:rFonts w:ascii="Symbol" w:hAnsi="Symbol" w:cs="Symbol" w:hint="default"/>
      </w:rPr>
    </w:lvl>
    <w:lvl w:ilvl="5">
      <w:start w:val="0"/>
      <w:numFmt w:val="bullet"/>
      <w:lvlText w:val=""/>
      <w:lvlJc w:val="left"/>
      <w:pPr>
        <w:tabs>
          <w:tab w:val="num" w:pos="0"/>
        </w:tabs>
        <w:ind w:left="4680" w:hanging="360"/>
      </w:pPr>
      <w:rPr>
        <w:rFonts w:ascii="Symbol" w:hAnsi="Symbol" w:cs="Symbol" w:hint="default"/>
      </w:rPr>
    </w:lvl>
    <w:lvl w:ilvl="6">
      <w:start w:val="0"/>
      <w:numFmt w:val="bullet"/>
      <w:lvlText w:val=""/>
      <w:lvlJc w:val="left"/>
      <w:pPr>
        <w:tabs>
          <w:tab w:val="num" w:pos="0"/>
        </w:tabs>
        <w:ind w:left="5472" w:hanging="360"/>
      </w:pPr>
      <w:rPr>
        <w:rFonts w:ascii="Symbol" w:hAnsi="Symbol" w:cs="Symbol" w:hint="default"/>
      </w:rPr>
    </w:lvl>
    <w:lvl w:ilvl="7">
      <w:start w:val="0"/>
      <w:numFmt w:val="bullet"/>
      <w:lvlText w:val=""/>
      <w:lvlJc w:val="left"/>
      <w:pPr>
        <w:tabs>
          <w:tab w:val="num" w:pos="0"/>
        </w:tabs>
        <w:ind w:left="6264" w:hanging="360"/>
      </w:pPr>
      <w:rPr>
        <w:rFonts w:ascii="Symbol" w:hAnsi="Symbol" w:cs="Symbol" w:hint="default"/>
      </w:rPr>
    </w:lvl>
    <w:lvl w:ilvl="8">
      <w:start w:val="0"/>
      <w:numFmt w:val="bullet"/>
      <w:lvlText w:val=""/>
      <w:lvlJc w:val="left"/>
      <w:pPr>
        <w:tabs>
          <w:tab w:val="num" w:pos="0"/>
        </w:tabs>
        <w:ind w:left="7056" w:hanging="360"/>
      </w:pPr>
      <w:rPr>
        <w:rFonts w:ascii="Symbol" w:hAnsi="Symbol" w:cs="Symbol" w:hint="default"/>
      </w:rPr>
    </w:lvl>
  </w:abstractNum>
  <w:abstractNum w:abstractNumId="5">
    <w:lvl w:ilvl="0">
      <w:start w:val="1"/>
      <w:numFmt w:val="decimal"/>
      <w:lvlText w:val="%1."/>
      <w:lvlJc w:val="left"/>
      <w:pPr>
        <w:tabs>
          <w:tab w:val="num" w:pos="0"/>
        </w:tabs>
        <w:ind w:left="720" w:hanging="360"/>
      </w:pPr>
      <w:rPr>
        <w:sz w:val="20"/>
        <w:i w:val="false"/>
        <w:b w:val="false"/>
        <w:szCs w:val="20"/>
        <w:iCs w:val="false"/>
        <w:bCs w:val="false"/>
        <w:rFonts w:ascii="Quattrocento Sans" w:hAnsi="Quattrocento Sans" w:eastAsia="Quattrocento Sans" w:cs="Quattrocento Sans"/>
      </w:rPr>
    </w:lvl>
    <w:lvl w:ilvl="1">
      <w:start w:val="0"/>
      <w:numFmt w:val="bullet"/>
      <w:lvlText w:val=""/>
      <w:lvlJc w:val="left"/>
      <w:pPr>
        <w:tabs>
          <w:tab w:val="num" w:pos="0"/>
        </w:tabs>
        <w:ind w:left="1512" w:hanging="360"/>
      </w:pPr>
      <w:rPr>
        <w:rFonts w:ascii="Symbol" w:hAnsi="Symbol" w:cs="Symbol" w:hint="default"/>
      </w:rPr>
    </w:lvl>
    <w:lvl w:ilvl="2">
      <w:start w:val="0"/>
      <w:numFmt w:val="bullet"/>
      <w:lvlText w:val=""/>
      <w:lvlJc w:val="left"/>
      <w:pPr>
        <w:tabs>
          <w:tab w:val="num" w:pos="0"/>
        </w:tabs>
        <w:ind w:left="2304" w:hanging="360"/>
      </w:pPr>
      <w:rPr>
        <w:rFonts w:ascii="Symbol" w:hAnsi="Symbol" w:cs="Symbol" w:hint="default"/>
      </w:rPr>
    </w:lvl>
    <w:lvl w:ilvl="3">
      <w:start w:val="0"/>
      <w:numFmt w:val="bullet"/>
      <w:lvlText w:val=""/>
      <w:lvlJc w:val="left"/>
      <w:pPr>
        <w:tabs>
          <w:tab w:val="num" w:pos="0"/>
        </w:tabs>
        <w:ind w:left="3096" w:hanging="360"/>
      </w:pPr>
      <w:rPr>
        <w:rFonts w:ascii="Symbol" w:hAnsi="Symbol" w:cs="Symbol" w:hint="default"/>
      </w:rPr>
    </w:lvl>
    <w:lvl w:ilvl="4">
      <w:start w:val="0"/>
      <w:numFmt w:val="bullet"/>
      <w:lvlText w:val=""/>
      <w:lvlJc w:val="left"/>
      <w:pPr>
        <w:tabs>
          <w:tab w:val="num" w:pos="0"/>
        </w:tabs>
        <w:ind w:left="3888" w:hanging="360"/>
      </w:pPr>
      <w:rPr>
        <w:rFonts w:ascii="Symbol" w:hAnsi="Symbol" w:cs="Symbol" w:hint="default"/>
      </w:rPr>
    </w:lvl>
    <w:lvl w:ilvl="5">
      <w:start w:val="0"/>
      <w:numFmt w:val="bullet"/>
      <w:lvlText w:val=""/>
      <w:lvlJc w:val="left"/>
      <w:pPr>
        <w:tabs>
          <w:tab w:val="num" w:pos="0"/>
        </w:tabs>
        <w:ind w:left="4680" w:hanging="360"/>
      </w:pPr>
      <w:rPr>
        <w:rFonts w:ascii="Symbol" w:hAnsi="Symbol" w:cs="Symbol" w:hint="default"/>
      </w:rPr>
    </w:lvl>
    <w:lvl w:ilvl="6">
      <w:start w:val="0"/>
      <w:numFmt w:val="bullet"/>
      <w:lvlText w:val=""/>
      <w:lvlJc w:val="left"/>
      <w:pPr>
        <w:tabs>
          <w:tab w:val="num" w:pos="0"/>
        </w:tabs>
        <w:ind w:left="5472" w:hanging="360"/>
      </w:pPr>
      <w:rPr>
        <w:rFonts w:ascii="Symbol" w:hAnsi="Symbol" w:cs="Symbol" w:hint="default"/>
      </w:rPr>
    </w:lvl>
    <w:lvl w:ilvl="7">
      <w:start w:val="0"/>
      <w:numFmt w:val="bullet"/>
      <w:lvlText w:val=""/>
      <w:lvlJc w:val="left"/>
      <w:pPr>
        <w:tabs>
          <w:tab w:val="num" w:pos="0"/>
        </w:tabs>
        <w:ind w:left="6264" w:hanging="360"/>
      </w:pPr>
      <w:rPr>
        <w:rFonts w:ascii="Symbol" w:hAnsi="Symbol" w:cs="Symbol" w:hint="default"/>
      </w:rPr>
    </w:lvl>
    <w:lvl w:ilvl="8">
      <w:start w:val="0"/>
      <w:numFmt w:val="bullet"/>
      <w:lvlText w:val=""/>
      <w:lvlJc w:val="left"/>
      <w:pPr>
        <w:tabs>
          <w:tab w:val="num" w:pos="0"/>
        </w:tabs>
        <w:ind w:left="7056" w:hanging="360"/>
      </w:pPr>
      <w:rPr>
        <w:rFonts w:ascii="Symbol" w:hAnsi="Symbol" w:cs="Symbol" w:hint="default"/>
      </w:rPr>
    </w:lvl>
  </w:abstractNum>
  <w:abstractNum w:abstractNumId="6">
    <w:lvl w:ilvl="0">
      <w:start w:val="1"/>
      <w:numFmt w:val="lowerLetter"/>
      <w:lvlText w:val="%1)"/>
      <w:lvlJc w:val="left"/>
      <w:pPr>
        <w:tabs>
          <w:tab w:val="num" w:pos="0"/>
        </w:tabs>
        <w:ind w:left="566" w:hanging="248"/>
      </w:pPr>
      <w:rPr>
        <w:sz w:val="20"/>
        <w:i w:val="false"/>
        <w:b w:val="false"/>
        <w:szCs w:val="20"/>
        <w:iCs w:val="false"/>
        <w:bCs w:val="false"/>
        <w:rFonts w:ascii="Quattrocento Sans" w:hAnsi="Quattrocento Sans" w:eastAsia="Quattrocento Sans" w:cs="Quattrocento Sans"/>
      </w:rPr>
    </w:lvl>
    <w:lvl w:ilvl="1">
      <w:start w:val="1"/>
      <w:numFmt w:val="upperLetter"/>
      <w:lvlText w:val="%2."/>
      <w:lvlJc w:val="left"/>
      <w:pPr>
        <w:tabs>
          <w:tab w:val="num" w:pos="0"/>
        </w:tabs>
        <w:ind w:left="926" w:hanging="360"/>
      </w:pPr>
      <w:rPr>
        <w:sz w:val="20"/>
        <w:i w:val="false"/>
        <w:b w:val="false"/>
        <w:szCs w:val="20"/>
        <w:iCs w:val="false"/>
        <w:bCs w:val="false"/>
        <w:rFonts w:ascii="Quattrocento Sans" w:hAnsi="Quattrocento Sans" w:eastAsia="Quattrocento Sans" w:cs="Quattrocento Sans"/>
      </w:rPr>
    </w:lvl>
    <w:lvl w:ilvl="2">
      <w:start w:val="0"/>
      <w:numFmt w:val="bullet"/>
      <w:lvlText w:val=""/>
      <w:lvlJc w:val="left"/>
      <w:pPr>
        <w:tabs>
          <w:tab w:val="num" w:pos="0"/>
        </w:tabs>
        <w:ind w:left="1777" w:hanging="360"/>
      </w:pPr>
      <w:rPr>
        <w:rFonts w:ascii="Symbol" w:hAnsi="Symbol" w:cs="Symbol" w:hint="default"/>
      </w:rPr>
    </w:lvl>
    <w:lvl w:ilvl="3">
      <w:start w:val="0"/>
      <w:numFmt w:val="bullet"/>
      <w:lvlText w:val=""/>
      <w:lvlJc w:val="left"/>
      <w:pPr>
        <w:tabs>
          <w:tab w:val="num" w:pos="0"/>
        </w:tabs>
        <w:ind w:left="2635" w:hanging="360"/>
      </w:pPr>
      <w:rPr>
        <w:rFonts w:ascii="Symbol" w:hAnsi="Symbol" w:cs="Symbol" w:hint="default"/>
      </w:rPr>
    </w:lvl>
    <w:lvl w:ilvl="4">
      <w:start w:val="0"/>
      <w:numFmt w:val="bullet"/>
      <w:lvlText w:val=""/>
      <w:lvlJc w:val="left"/>
      <w:pPr>
        <w:tabs>
          <w:tab w:val="num" w:pos="0"/>
        </w:tabs>
        <w:ind w:left="3493" w:hanging="360"/>
      </w:pPr>
      <w:rPr>
        <w:rFonts w:ascii="Symbol" w:hAnsi="Symbol" w:cs="Symbol" w:hint="default"/>
      </w:rPr>
    </w:lvl>
    <w:lvl w:ilvl="5">
      <w:start w:val="0"/>
      <w:numFmt w:val="bullet"/>
      <w:lvlText w:val=""/>
      <w:lvlJc w:val="left"/>
      <w:pPr>
        <w:tabs>
          <w:tab w:val="num" w:pos="0"/>
        </w:tabs>
        <w:ind w:left="4351" w:hanging="360"/>
      </w:pPr>
      <w:rPr>
        <w:rFonts w:ascii="Symbol" w:hAnsi="Symbol" w:cs="Symbol" w:hint="default"/>
      </w:rPr>
    </w:lvl>
    <w:lvl w:ilvl="6">
      <w:start w:val="0"/>
      <w:numFmt w:val="bullet"/>
      <w:lvlText w:val=""/>
      <w:lvlJc w:val="left"/>
      <w:pPr>
        <w:tabs>
          <w:tab w:val="num" w:pos="0"/>
        </w:tabs>
        <w:ind w:left="5208" w:hanging="360"/>
      </w:pPr>
      <w:rPr>
        <w:rFonts w:ascii="Symbol" w:hAnsi="Symbol" w:cs="Symbol" w:hint="default"/>
      </w:rPr>
    </w:lvl>
    <w:lvl w:ilvl="7">
      <w:start w:val="0"/>
      <w:numFmt w:val="bullet"/>
      <w:lvlText w:val=""/>
      <w:lvlJc w:val="left"/>
      <w:pPr>
        <w:tabs>
          <w:tab w:val="num" w:pos="0"/>
        </w:tabs>
        <w:ind w:left="6066" w:hanging="360"/>
      </w:pPr>
      <w:rPr>
        <w:rFonts w:ascii="Symbol" w:hAnsi="Symbol" w:cs="Symbol" w:hint="default"/>
      </w:rPr>
    </w:lvl>
    <w:lvl w:ilvl="8">
      <w:start w:val="0"/>
      <w:numFmt w:val="bullet"/>
      <w:lvlText w:val=""/>
      <w:lvlJc w:val="left"/>
      <w:pPr>
        <w:tabs>
          <w:tab w:val="num" w:pos="0"/>
        </w:tabs>
        <w:ind w:left="6924" w:hanging="360"/>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Quattrocento Sans" w:hAnsi="Quattrocento Sans" w:eastAsia="Quattrocento Sans" w:cs="Quattrocento Sans"/>
        <w:sz w:val="22"/>
        <w:szCs w:val="22"/>
        <w:lang w:val="es-ES" w:eastAsia="zh-CN" w:bidi="hi-IN"/>
      </w:rPr>
    </w:rPrDefault>
    <w:pPrDefault>
      <w:pPr>
        <w:suppressAutoHyphens w:val="true"/>
      </w:pPr>
    </w:pPrDefault>
  </w:docDefaults>
  <w:style w:type="paragraph" w:styleId="Normal">
    <w:name w:val="Normal"/>
    <w:qFormat/>
    <w:pPr>
      <w:widowControl w:val="fals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val="fals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Cabeceraypie">
    <w:name w:val="Cabecera y pie"/>
    <w:basedOn w:val="Normal"/>
    <w:qFormat/>
    <w:pPr/>
    <w:rPr/>
  </w:style>
  <w:style w:type="paragraph" w:styleId="Header">
    <w:name w:val="Header"/>
    <w:basedOn w:val="Cabeceraypie"/>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xDozfspVMwHAuyik6c7l1j5mdPw==">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7</TotalTime>
  <Application>LibreOffice/24.2.7.2$Linux_X86_64 LibreOffice_project/420$Build-2</Application>
  <AppVersion>15.0000</AppVersion>
  <Pages>9</Pages>
  <Words>3825</Words>
  <Characters>21858</Characters>
  <CharactersWithSpaces>25555</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2026-05-04T07:11:24Z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2025-09-15T00:00:00Z</vt:lpwstr>
  </property>
  <property fmtid="{D5CDD505-2E9C-101B-9397-08002B2CF9AE}" pid="3" name="Creator">
    <vt:lpwstr>Microsoft® Word para Microsoft 365</vt:lpwstr>
  </property>
  <property fmtid="{D5CDD505-2E9C-101B-9397-08002B2CF9AE}" pid="4" name="LastSaved">
    <vt:lpwstr>2025-09-30T00:00:00Z</vt:lpwstr>
  </property>
  <property fmtid="{D5CDD505-2E9C-101B-9397-08002B2CF9AE}" pid="5" name="Producer">
    <vt:lpwstr>Microsoft® Word para Microsoft 365</vt:lpwstr>
  </property>
</Properties>
</file>