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청렴지수·부패신고 데이터 분석 보고서</w:t>
      </w:r>
    </w:p>
    <w:p>
      <w:pPr>
        <w:jc w:val="center"/>
      </w:pPr>
      <w:r>
        <w:t>[연습세트01·블루] 2과목 — 데이터분석</w:t>
      </w:r>
    </w:p>
    <w:p>
      <w:pPr>
        <w:pStyle w:val="Heading1"/>
      </w:pPr>
      <w:r>
        <w:t>1. 분석 개요</w:t>
      </w:r>
    </w:p>
    <w:p>
      <w:r>
        <w:t>행정안전부 청렴감사관실 업무로, 기관별 청렴지수 현황과 부패신고 현황 데이터를 병합·전처리한 뒤 머신러닝 모델로 기관의 부패위험 여부를 예측하였다.</w:t>
      </w:r>
    </w:p>
    <w:p>
      <w:pPr>
        <w:pStyle w:val="Heading1"/>
      </w:pPr>
      <w:r>
        <w:t>2. 데이터 전처리</w:t>
      </w:r>
    </w:p>
    <w:p>
      <w:pPr>
        <w:pStyle w:val="ListBullet"/>
      </w:pPr>
      <w:r>
        <w:t>· 기관코드 기준 inner merge: 175행</w:t>
      </w:r>
    </w:p>
    <w:p>
      <w:pPr>
        <w:pStyle w:val="ListBullet"/>
      </w:pPr>
      <w:r>
        <w:t>· 결측치(dropna) 제거 후: 148행</w:t>
      </w:r>
    </w:p>
    <w:p>
      <w:pPr>
        <w:pStyle w:val="ListBullet"/>
      </w:pPr>
      <w:r>
        <w:t>· IQR 이상치(설문인원·평균처리일수) 제거 후: 141행</w:t>
      </w:r>
    </w:p>
    <w:p>
      <w:pPr>
        <w:pStyle w:val="ListBullet"/>
      </w:pPr>
      <w:r>
        <w:t>· 라벨(부패위험, seed=251) 분포 — 0: 79건 / 1: 62건</w:t>
      </w:r>
    </w:p>
    <w:p>
      <w:pPr>
        <w:pStyle w:val="Heading1"/>
      </w:pPr>
      <w:r>
        <w:t>3. 핵심 분석 결과 (단답)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Q1. 병합 기준 공통 컬럼</w:t>
            </w:r>
          </w:p>
        </w:tc>
        <w:tc>
          <w:tcPr>
            <w:tcW w:type="dxa" w:w="4320"/>
          </w:tcPr>
          <w:p>
            <w:r>
              <w:t>기관코드</w:t>
            </w:r>
          </w:p>
        </w:tc>
      </w:tr>
      <w:tr>
        <w:tc>
          <w:tcPr>
            <w:tcW w:type="dxa" w:w="4320"/>
          </w:tcPr>
          <w:p>
            <w:r>
              <w:t>Q2. 평균 청렴지수 최고 기관유형</w:t>
            </w:r>
          </w:p>
        </w:tc>
        <w:tc>
          <w:tcPr>
            <w:tcW w:type="dxa" w:w="4320"/>
          </w:tcPr>
          <w:p>
            <w:r>
              <w:t>광역지자체 (8.058)</w:t>
            </w:r>
          </w:p>
        </w:tc>
      </w:tr>
      <w:tr>
        <w:tc>
          <w:tcPr>
            <w:tcW w:type="dxa" w:w="4320"/>
          </w:tcPr>
          <w:p>
            <w:r>
              <w:t>Q3. 정제 후 행 수</w:t>
            </w:r>
          </w:p>
        </w:tc>
        <w:tc>
          <w:tcPr>
            <w:tcW w:type="dxa" w:w="4320"/>
          </w:tcPr>
          <w:p>
            <w:r>
              <w:t>141 행</w:t>
            </w:r>
          </w:p>
        </w:tc>
      </w:tr>
      <w:tr>
        <w:tc>
          <w:tcPr>
            <w:tcW w:type="dxa" w:w="4320"/>
          </w:tcPr>
          <w:p>
            <w:r>
              <w:t>Q4. 라벨=1 기관 청렴지수 평균(반올림)</w:t>
            </w:r>
          </w:p>
        </w:tc>
        <w:tc>
          <w:tcPr>
            <w:tcW w:type="dxa" w:w="4320"/>
          </w:tcPr>
          <w:p>
            <w:r>
              <w:t>7 (원값 7.2066)</w:t>
            </w:r>
          </w:p>
        </w:tc>
      </w:tr>
      <w:tr>
        <w:tc>
          <w:tcPr>
            <w:tcW w:type="dxa" w:w="4320"/>
          </w:tcPr>
          <w:p>
            <w:r>
              <w:t>Q5. 테스트셋 라벨=1 행 수</w:t>
            </w:r>
          </w:p>
        </w:tc>
        <w:tc>
          <w:tcPr>
            <w:tcW w:type="dxa" w:w="4320"/>
          </w:tcPr>
          <w:p>
            <w:r>
              <w:t>13 행 (테스트 29행)</w:t>
            </w:r>
          </w:p>
        </w:tc>
      </w:tr>
    </w:tbl>
    <w:p>
      <w:pPr>
        <w:pStyle w:val="Heading1"/>
      </w:pPr>
      <w:r>
        <w:t>4. 필수 차트 5종</w:t>
      </w:r>
    </w:p>
    <w:p>
      <w:pPr>
        <w:pStyle w:val="Heading2"/>
      </w:pPr>
      <w:r>
        <w:t>4.1 기관유형별 청렴지수 분포 (boxplot)</w:t>
      </w:r>
    </w:p>
    <w:p>
      <w:r>
        <w:drawing>
          <wp:inline xmlns:a="http://schemas.openxmlformats.org/drawingml/2006/main" xmlns:pic="http://schemas.openxmlformats.org/drawingml/2006/picture">
            <wp:extent cx="5303520" cy="357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광역지자체의 청렴지수 중앙값이 가장 높고, 기초지자체가 가장 낮은 분포를 보인다.</w:t>
      </w:r>
    </w:p>
    <w:p>
      <w:pPr>
        <w:pStyle w:val="Heading2"/>
      </w:pPr>
      <w:r>
        <w:t>4.2 청렴지수 히스토그램</w:t>
      </w:r>
    </w:p>
    <w:p>
      <w:r>
        <w:drawing>
          <wp:inline xmlns:a="http://schemas.openxmlformats.org/drawingml/2006/main" xmlns:pic="http://schemas.openxmlformats.org/drawingml/2006/picture">
            <wp:extent cx="5303520" cy="3773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청렴지수는 7~8점대에 집중 분포하며 대체로 단봉형 형태를 띤다.</w:t>
      </w:r>
    </w:p>
    <w:p>
      <w:pPr>
        <w:pStyle w:val="Heading2"/>
      </w:pPr>
      <w:r>
        <w:t>4.3 신고건수 vs 처리율 산점도</w:t>
      </w:r>
    </w:p>
    <w:p>
      <w:r>
        <w:drawing>
          <wp:inline xmlns:a="http://schemas.openxmlformats.org/drawingml/2006/main" xmlns:pic="http://schemas.openxmlformats.org/drawingml/2006/picture">
            <wp:extent cx="5303520" cy="3707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신고건수·처리율과 부패위험(색상)의 관계를 시각화하였다.</w:t>
      </w:r>
    </w:p>
    <w:p>
      <w:pPr>
        <w:pStyle w:val="Heading2"/>
      </w:pPr>
      <w:r>
        <w:t>4.4 4개 알고리즘 F1 비교 (bar)</w:t>
      </w:r>
    </w:p>
    <w:p>
      <w:r>
        <w:drawing>
          <wp:inline xmlns:a="http://schemas.openxmlformats.org/drawingml/2006/main" xmlns:pic="http://schemas.openxmlformats.org/drawingml/2006/picture">
            <wp:extent cx="5303520" cy="3579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bar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DecisionTree·RandomForest·LogisticRegression·KNN의 테스트셋 F1을 비교하였다. DecisionTree: 0.800 / RandomForest: 0.800 / LogisticReg: 0.846 / KNN: 0.769</w:t>
      </w:r>
    </w:p>
    <w:p>
      <w:pPr>
        <w:pStyle w:val="Heading2"/>
      </w:pPr>
      <w:r>
        <w:t>4.5 DecisionTree max_depth별 F1 변화 (line)</w:t>
      </w:r>
    </w:p>
    <w:p>
      <w:r>
        <w:drawing>
          <wp:inline xmlns:a="http://schemas.openxmlformats.org/drawingml/2006/main" xmlns:pic="http://schemas.openxmlformats.org/drawingml/2006/picture">
            <wp:extent cx="5303520" cy="3714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line_dep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max_depth를 1~15로 변화시키며 F1을 측정하였다. 최고 F1=0.833 (max_depth=5).</w:t>
      </w:r>
    </w:p>
    <w:p>
      <w:pPr>
        <w:pStyle w:val="Heading1"/>
      </w:pPr>
      <w:r>
        <w:t>5. 결론</w:t>
      </w:r>
    </w:p>
    <w:p>
      <w:r>
        <w:t>전처리 후 141개 기관 데이터로 부패위험 예측 모델을 학습한 결과, LogisticReg 모델이 F1 0.846로 가장 우수하였다. 청렴지수가 낮고 신고건수가 많은 기관일수록 부패위험이 높게 예측되는 경향을 확인하였다.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