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114935" distR="114935">
            <wp:extent cx="5362575" cy="681355"/>
            <wp:effectExtent l="0" t="0" r="0" b="0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principale"/>
        <w:rPr>
          <w:rFonts w:ascii="Calibri Light" w:hAnsi="Calibri Light" w:eastAsia="" w:cs=""/>
          <w:color w:val="2F5496" w:themeColor="accent1" w:themeShade="bf" w:themeTint="ff"/>
          <w:sz w:val="56"/>
          <w:szCs w:val="56"/>
        </w:rPr>
      </w:pPr>
      <w:bookmarkStart w:id="0" w:name="_GoBack"/>
      <w:bookmarkEnd w:id="0"/>
      <w:r>
        <w:rPr/>
        <w:t>Knowage for dashboards - User Manual</w:t>
      </w:r>
    </w:p>
    <w:p>
      <w:pPr>
        <w:pStyle w:val="Normal"/>
        <w:rPr/>
      </w:pPr>
      <w:r>
        <w:rPr/>
        <w:t>Welcome to the user manual section, here we describe a step by step guide to setup and configure the Knowage for dashboard instance.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Contents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Knowage</w:t>
      </w:r>
      <w:r>
        <w:rPr/>
        <w:t xml:space="preserve"> registration </w:t>
      </w:r>
      <w:r>
        <w:rPr/>
        <w:t>on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Comunication check between VM and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Setup local instance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Dataset configuration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 execution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Dashboards view by role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>
          <w:rFonts w:eastAsia="" w:cs="" w:cstheme="majorBidi" w:eastAsiaTheme="majorEastAsia"/>
          <w:color w:val="2E74B5" w:themeColor="accent1" w:themeShade="bf"/>
          <w:sz w:val="32"/>
          <w:szCs w:val="32"/>
        </w:rPr>
        <w:t>Knowage</w:t>
      </w:r>
      <w:r>
        <w:rPr/>
        <w:t xml:space="preserve"> registration </w:t>
      </w:r>
      <w:r>
        <w:rPr/>
        <w:t>on ACS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Sign-up on ACS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Sign into the </w:t>
      </w:r>
      <w:r>
        <w:rPr>
          <w:b/>
          <w:bCs/>
        </w:rPr>
        <w:t>DEMETER Access Control System</w:t>
      </w:r>
      <w:r>
        <w:rPr/>
        <w:t xml:space="preserve"> to access its </w:t>
      </w:r>
      <w:r>
        <w:rPr>
          <w:b/>
          <w:bCs/>
        </w:rPr>
        <w:t>Home page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Into the Home page, simply click the </w:t>
      </w:r>
      <w:r>
        <w:rPr>
          <w:b/>
          <w:bCs/>
        </w:rPr>
        <w:t xml:space="preserve">Register </w:t>
      </w:r>
      <w:r>
        <w:rPr/>
        <w:t xml:space="preserve">button or click </w:t>
      </w:r>
      <w:r>
        <w:rPr>
          <w:b/>
          <w:bCs/>
        </w:rPr>
        <w:t xml:space="preserve">applications </w:t>
      </w:r>
      <w:r>
        <w:rPr/>
        <w:t xml:space="preserve">on main menu and then the </w:t>
      </w:r>
      <w:r>
        <w:rPr>
          <w:b/>
          <w:bCs/>
        </w:rPr>
        <w:t xml:space="preserve">Register </w:t>
      </w:r>
      <w:r>
        <w:rPr/>
        <w:t>button.</w:t>
      </w:r>
    </w:p>
    <w:p>
      <w:pPr>
        <w:pStyle w:val="Normal"/>
        <w:ind w:left="0" w:hanging="0"/>
        <w:jc w:val="center"/>
        <w:rPr/>
      </w:pPr>
      <w:r>
        <w:rPr/>
        <w:drawing>
          <wp:inline distT="0" distB="0" distL="114935" distR="114935">
            <wp:extent cx="5977255" cy="2390775"/>
            <wp:effectExtent l="0" t="0" r="0" b="0"/>
            <wp:docPr id="2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>A three-step wizard will appear. On the first step we need to set the following fields: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Name</w:t>
      </w:r>
      <w:r>
        <w:rPr/>
        <w:t>: Name of the application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Description</w:t>
      </w:r>
      <w:r>
        <w:rPr/>
        <w:t>: Some description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Url</w:t>
      </w:r>
      <w:r>
        <w:rPr/>
        <w:t>: Application url, for a local installation of Knowage set it as: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Callback Url</w:t>
      </w:r>
      <w:r>
        <w:rPr/>
        <w:t>: The user agent will be redirected to this URL when OAuth flow is finished.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Sign-out Callback Url</w:t>
      </w:r>
      <w:r>
        <w:rPr/>
        <w:t xml:space="preserve">: 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114935" distR="114935">
            <wp:extent cx="5627370" cy="4572000"/>
            <wp:effectExtent l="0" t="0" r="0" b="0"/>
            <wp:docPr id="3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done, click the </w:t>
      </w:r>
      <w:r>
        <w:rPr>
          <w:b/>
          <w:bCs/>
        </w:rPr>
        <w:t xml:space="preserve">Next </w:t>
      </w:r>
      <w:r>
        <w:rPr/>
        <w:t>button to move on second step.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Here it's possible to choose an image to crop (if it's too big) and use as icon. Once done click the </w:t>
      </w:r>
      <w:r>
        <w:rPr>
          <w:b/>
          <w:bCs/>
        </w:rPr>
        <w:t xml:space="preserve">Next </w:t>
      </w:r>
      <w:r>
        <w:rPr/>
        <w:t>button.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114935" distR="114935">
            <wp:extent cx="4572000" cy="1962150"/>
            <wp:effectExtent l="0" t="0" r="0" b="0"/>
            <wp:docPr id="4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In the third step we can set up roles and permissions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Click the "</w:t>
      </w:r>
      <w:r>
        <w:rPr>
          <w:b/>
          <w:bCs/>
        </w:rPr>
        <w:t>+</w:t>
      </w:r>
      <w:r>
        <w:rPr/>
        <w:t xml:space="preserve">" icon on the roles section and add an </w:t>
      </w:r>
      <w:r>
        <w:rPr>
          <w:b/>
          <w:bCs/>
        </w:rPr>
        <w:t>admin</w:t>
      </w:r>
      <w:r>
        <w:rPr/>
        <w:t xml:space="preserve"> role.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114935" distR="114935">
            <wp:extent cx="4572000" cy="2886075"/>
            <wp:effectExtent l="0" t="0" r="0" b="0"/>
            <wp:docPr id="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Click </w:t>
      </w:r>
      <w:r>
        <w:rPr>
          <w:b/>
          <w:bCs/>
        </w:rPr>
        <w:t xml:space="preserve">Save </w:t>
      </w:r>
      <w:r>
        <w:rPr/>
        <w:t>to complete.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From the details window it's possible to </w:t>
      </w:r>
      <w:r>
        <w:rPr>
          <w:b/>
          <w:bCs/>
        </w:rPr>
        <w:t xml:space="preserve">edit </w:t>
      </w:r>
      <w:r>
        <w:rPr/>
        <w:t xml:space="preserve">or </w:t>
      </w:r>
      <w:r>
        <w:rPr>
          <w:b/>
          <w:bCs/>
        </w:rPr>
        <w:t>manage roles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0"/>
        <w:rPr/>
      </w:pPr>
      <w:r>
        <w:rPr/>
      </w:r>
      <w:r>
        <w:br w:type="page"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114935" distR="114935">
            <wp:extent cx="4572000" cy="3667125"/>
            <wp:effectExtent l="0" t="0" r="0" b="0"/>
            <wp:docPr id="6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OAuth2 Credentials</w:t>
      </w:r>
      <w:r>
        <w:rPr/>
        <w:t xml:space="preserve"> and take note of the </w:t>
      </w:r>
      <w:r>
        <w:rPr>
          <w:b/>
          <w:bCs/>
        </w:rPr>
        <w:t>Cliend ID</w:t>
      </w:r>
      <w:r>
        <w:rPr/>
        <w:t xml:space="preserve"> and </w:t>
      </w:r>
      <w:r>
        <w:rPr>
          <w:b/>
          <w:bCs/>
        </w:rPr>
        <w:t>Client Secret</w:t>
      </w:r>
      <w:r>
        <w:rPr/>
        <w:t xml:space="preserve"> tokens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Scroll down the page and click the </w:t>
      </w:r>
      <w:r>
        <w:rPr>
          <w:b/>
          <w:bCs/>
        </w:rPr>
        <w:t>Authorize</w:t>
      </w:r>
      <w:r>
        <w:rPr/>
        <w:t xml:space="preserve"> button on </w:t>
      </w:r>
      <w:r>
        <w:rPr>
          <w:b/>
          <w:bCs/>
        </w:rPr>
        <w:t>Authorized users</w:t>
      </w:r>
      <w:r>
        <w:rPr/>
        <w:t xml:space="preserve"> section.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114935" distR="114935">
            <wp:extent cx="4572000" cy="2533650"/>
            <wp:effectExtent l="0" t="0" r="0" b="0"/>
            <wp:docPr id="7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All users</w:t>
      </w:r>
      <w:r>
        <w:rPr/>
        <w:t xml:space="preserve">, type a valid user name inside the </w:t>
      </w:r>
      <w:r>
        <w:rPr>
          <w:b/>
          <w:bCs/>
        </w:rPr>
        <w:t>filter</w:t>
      </w:r>
      <w:r>
        <w:rPr/>
        <w:t xml:space="preserve"> box.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If the user typed is registered on ACS, a result will appear.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Select the user to authorize access to Knowage and assign the roles using the </w:t>
      </w:r>
      <w:r>
        <w:rPr>
          <w:b/>
          <w:bCs/>
        </w:rPr>
        <w:t>role</w:t>
      </w:r>
      <w:r>
        <w:rPr/>
        <w:t xml:space="preserve"> dropdown menu.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085975"/>
            <wp:effectExtent l="0" t="0" r="0" b="0"/>
            <wp:docPr id="8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/>
      </w:pPr>
      <w:r>
        <w:rPr/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Comunication check between VM and ACS</w:t>
      </w:r>
    </w:p>
    <w:p>
      <w:pPr>
        <w:pStyle w:val="Normal"/>
        <w:rPr/>
      </w:pPr>
      <w:r>
        <w:rPr/>
        <w:t>Before proceeding to the next steps, it is recommended to verify the correct communication between the docker Virtual Machine (VM) and ACS by running the following command:</w:t>
      </w:r>
    </w:p>
    <w:p>
      <w:pPr>
        <w:pStyle w:val="Normal"/>
        <w:rPr/>
      </w:pPr>
      <w:r>
        <w:rPr/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'https://acs.bse.h2020-demeter-cloud.eu:5443/v1/auth/tokens' --header 'Content-Type: application/json' --data '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"name": "ACS_MAIL",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"password": "ACS_PASSWORD"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}'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for native cmd shell use this:</w:t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26"/>
      </w:tblGrid>
      <w:tr>
        <w:trPr/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totabella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"https://acs.bse.h2020-demeter-cloud.eu:5443/v1/auth/tokens"  --header "Content-Type: application/json" ^</w:t>
            </w:r>
          </w:p>
          <w:p>
            <w:pPr>
              <w:pStyle w:val="Contenutotabella"/>
              <w:spacing w:before="0" w:after="160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ab/>
              <w:t>--data "{ \"name\": \"ACS_MAIL\" , \"password\": \"ACS_PASSWORD\" } "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Put your ACS account mail on </w:t>
      </w:r>
      <w:r>
        <w:rPr>
          <w:b/>
          <w:bCs/>
        </w:rPr>
        <w:t>ACS_MAIL</w:t>
      </w:r>
      <w:r>
        <w:rPr/>
        <w:t xml:space="preserve"> and your ACS password on </w:t>
      </w:r>
      <w:r>
        <w:rPr>
          <w:b/>
          <w:bCs/>
        </w:rPr>
        <w:t>ACS_PASSWORD</w:t>
      </w:r>
      <w:r>
        <w:rPr/>
        <w:t>.</w:t>
      </w:r>
    </w:p>
    <w:p>
      <w:pPr>
        <w:pStyle w:val="Normal"/>
        <w:rPr/>
      </w:pPr>
      <w:r>
        <w:rPr/>
        <w:t xml:space="preserve">If this test is not successful, then you must check with the system administrator that port </w:t>
      </w:r>
      <w:r>
        <w:rPr>
          <w:b/>
          <w:bCs/>
        </w:rPr>
        <w:t xml:space="preserve">5443 </w:t>
      </w:r>
      <w:r>
        <w:rPr/>
        <w:t>is open and can connect to the ACS host.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Setup local instance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Follow each of the following links to the Docker Hub and check for the latest tag version of the instance:</w:t>
      </w:r>
    </w:p>
    <w:p>
      <w:pPr>
        <w:pStyle w:val="ListParagraph"/>
        <w:numPr>
          <w:ilvl w:val="0"/>
          <w:numId w:val="9"/>
        </w:numPr>
        <w:rPr/>
      </w:pPr>
      <w:hyperlink r:id="rId10">
        <w:r>
          <w:rPr>
            <w:rStyle w:val="CollegamentoInternet"/>
          </w:rPr>
          <w:t>Knowage</w:t>
        </w:r>
      </w:hyperlink>
    </w:p>
    <w:p>
      <w:pPr>
        <w:pStyle w:val="ListParagraph"/>
        <w:numPr>
          <w:ilvl w:val="0"/>
          <w:numId w:val="9"/>
        </w:numPr>
        <w:rPr/>
      </w:pPr>
      <w:hyperlink r:id="rId11">
        <w:r>
          <w:rPr>
            <w:rStyle w:val="CollegamentoInternet"/>
          </w:rPr>
          <w:t>Knowagedb</w:t>
        </w:r>
      </w:hyperlink>
    </w:p>
    <w:p>
      <w:pPr>
        <w:pStyle w:val="ListParagraph"/>
        <w:numPr>
          <w:ilvl w:val="0"/>
          <w:numId w:val="0"/>
        </w:numPr>
        <w:ind w:left="1788" w:hanging="0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inline distT="0" distB="0" distL="114935" distR="114935">
            <wp:extent cx="4572000" cy="2085975"/>
            <wp:effectExtent l="0" t="0" r="0" b="0"/>
            <wp:docPr id="9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Create a </w:t>
      </w:r>
      <w:r>
        <w:rPr>
          <w:b/>
          <w:bCs/>
        </w:rPr>
        <w:t>new folder</w:t>
      </w:r>
      <w:r>
        <w:rPr/>
        <w:t xml:space="preserve"> on the machine to host the Knowage application and name it as your preference.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Now create a new file inside that folder and rename it as </w:t>
      </w:r>
      <w:r>
        <w:rPr>
          <w:b/>
          <w:bCs/>
        </w:rPr>
        <w:t>docker-compose.yml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>Copy and paste the content below into the docker-compose file.</w:t>
      </w:r>
    </w:p>
    <w:p>
      <w:pPr>
        <w:pStyle w:val="Normal"/>
        <w:rPr/>
      </w:pPr>
      <w:r>
        <w:rPr/>
        <w:t>Note: remember to check and change the image tag version with the latest one: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demeterengteam/knowagedb-7.2.0: v2.0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demeterengteam/knowage-7.2.0: idm-v2.0</w:t>
      </w:r>
    </w:p>
    <w:p>
      <w:pPr>
        <w:pStyle w:val="Normal"/>
        <w:rPr/>
      </w:pPr>
      <w:r>
        <w:rPr>
          <w:i/>
          <w:iCs/>
        </w:rPr>
        <w:t>docker-compose.yml</w:t>
      </w:r>
      <w:r>
        <w:rPr/>
        <w:t>:</w:t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version: "3"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services: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knowagedb: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knowagedb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demeterengteam/knowagedb-7.2.0:v2.0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"3306:3306"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MYSQL_ROOT_PASSWORD=r00t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MYSQL_DATABASE=knowagedb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volumes: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./mariadb_conf:/home/knowage/mariadb_conf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knowage: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demeterengteam/knowage-7.2.0:idm-v2.0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"8080:8080"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depends_on: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knowagedb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DB_HOST=knowagedb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DB_PORT=3306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DB_USER=root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DB_PASS=r00t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DB_DB=knowagedb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env_file:</w:t>
            </w:r>
          </w:p>
          <w:p>
            <w:pPr>
              <w:pStyle w:val="Normal"/>
              <w:widowControl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./KnowageParameters.env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hostnet: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create a new file into the same folder and rename it as </w:t>
      </w:r>
      <w:r>
        <w:rPr>
          <w:b/>
          <w:bCs/>
        </w:rPr>
        <w:t xml:space="preserve">KnowageParameters.env </w:t>
      </w:r>
      <w:r>
        <w:rPr/>
        <w:t>(or as your preference).</w:t>
      </w:r>
    </w:p>
    <w:p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If a different name is given, then remember to update also the </w:t>
      </w:r>
      <w:r>
        <w:rPr>
          <w:b/>
          <w:bCs/>
        </w:rPr>
        <w:t>env_file</w:t>
      </w:r>
      <w:r>
        <w:rPr/>
        <w:t xml:space="preserve"> reference into the </w:t>
      </w:r>
      <w:r>
        <w:rPr>
          <w:b/>
          <w:bCs/>
        </w:rPr>
        <w:t>docker-compose.yml</w:t>
      </w:r>
      <w:r>
        <w:rPr/>
        <w:t>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Copy and paste the content below into the KnowageParameters file.</w:t>
      </w:r>
    </w:p>
    <w:p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The acronym </w:t>
      </w:r>
      <w:r>
        <w:rPr>
          <w:b/>
          <w:bCs/>
        </w:rPr>
        <w:t>"IDM"</w:t>
      </w:r>
      <w:r>
        <w:rPr/>
        <w:t xml:space="preserve"> (Identity Manager) is used to indicate the </w:t>
      </w:r>
      <w:r>
        <w:rPr>
          <w:b/>
          <w:bCs/>
        </w:rPr>
        <w:t>Access Control System (ACS)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i/>
          <w:iCs/>
        </w:rPr>
        <w:t>KnowageParameters.env content:</w:t>
      </w:r>
    </w:p>
    <w:tbl>
      <w:tblPr>
        <w:tblStyle w:val="TableGrid"/>
        <w:tblW w:w="91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120"/>
      </w:tblGrid>
      <w:tr>
        <w:trPr/>
        <w:tc>
          <w:tcPr>
            <w:tcW w:w="91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ACS_INTEGRATION=true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SECURITY_LOGOUT_URL=https://acs.bse.h2020-demeter-cloud.eu:5443/auth/logout?_method=DELETE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OAUTH2_CLIENT_ID=INSERT APP CLIENT ID FROM IDM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OAUTH2_SECRET=INSERT APP CLIENT SECRET FROM IDM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ACS_BASE_URL=https://acs.bse.h2020-demeter-cloud.eu:5443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ACS_ADMIN_ID=ADMIN ID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ACS_ADMIN_EMAIL=ADMIN EMAIL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ACS_ADMIN_PASSWORD=ADMIN PASSWORD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REDIRECT_URL=http://localhost:8080/knowage/servlet/AdapterHTTP?PAGE=LoginPage\&amp;NEW_SESSION=TRUE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PROXY_HOST=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PROXY_PORT=</w:t>
            </w:r>
          </w:p>
        </w:tc>
      </w:tr>
    </w:tbl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OAUTH2_CLIENT_ID</w:t>
      </w:r>
      <w:r>
        <w:rPr/>
        <w:t xml:space="preserve"> and </w:t>
      </w:r>
      <w:r>
        <w:rPr>
          <w:b/>
          <w:bCs/>
        </w:rPr>
        <w:t>OAUTH2_SECRET</w:t>
      </w:r>
      <w:r>
        <w:rPr/>
        <w:t>, paste the tokens from your Knowage application registered on ACS.</w:t>
      </w:r>
    </w:p>
    <w:p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Refer to </w:t>
      </w:r>
      <w:r>
        <w:rPr>
          <w:b/>
          <w:bCs/>
        </w:rPr>
        <w:t>point 11</w:t>
      </w:r>
      <w:r>
        <w:rPr/>
        <w:t xml:space="preserve"> of </w:t>
      </w:r>
      <w:r>
        <w:rPr>
          <w:b/>
          <w:bCs/>
        </w:rPr>
        <w:t>ACS application registration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your </w:t>
      </w:r>
      <w:r>
        <w:rPr>
          <w:b/>
          <w:bCs/>
        </w:rPr>
        <w:t>ACS Admin account ID</w:t>
      </w:r>
      <w:r>
        <w:rPr>
          <w:b w:val="false"/>
          <w:bCs w:val="false"/>
        </w:rPr>
        <w:t>,</w:t>
      </w:r>
      <w:r>
        <w:rPr>
          <w:b/>
          <w:bCs/>
        </w:rPr>
        <w:t xml:space="preserve"> e-mail</w:t>
      </w:r>
      <w:r>
        <w:rPr/>
        <w:t xml:space="preserve"> and </w:t>
      </w:r>
      <w:r>
        <w:rPr>
          <w:b/>
          <w:bCs/>
        </w:rPr>
        <w:t xml:space="preserve">password </w:t>
      </w:r>
      <w:r>
        <w:rPr/>
        <w:t xml:space="preserve">on </w:t>
      </w:r>
      <w:r>
        <w:rPr>
          <w:b/>
          <w:bCs/>
        </w:rPr>
        <w:t>ACS_ADMIN_ID</w:t>
      </w:r>
      <w:r>
        <w:rPr/>
        <w:t xml:space="preserve">, </w:t>
      </w:r>
      <w:r>
        <w:rPr>
          <w:b/>
          <w:bCs/>
        </w:rPr>
        <w:t xml:space="preserve">ACS_ADMIN_EMAIL </w:t>
      </w:r>
      <w:r>
        <w:rPr/>
        <w:t xml:space="preserve">and </w:t>
      </w:r>
      <w:r>
        <w:rPr>
          <w:b/>
          <w:bCs/>
        </w:rPr>
        <w:t xml:space="preserve">ACS_ADMIN_PASSWORD </w:t>
      </w:r>
      <w:r>
        <w:rPr/>
        <w:t>fields.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the </w:t>
      </w:r>
      <w:r>
        <w:rPr>
          <w:b/>
          <w:bCs/>
        </w:rPr>
        <w:t xml:space="preserve">REDIRECT_URL </w:t>
      </w:r>
      <w:r>
        <w:rPr/>
        <w:t xml:space="preserve">with the </w:t>
      </w:r>
      <w:r>
        <w:rPr>
          <w:b/>
          <w:bCs/>
        </w:rPr>
        <w:t xml:space="preserve">Callback Url </w:t>
      </w:r>
      <w:r>
        <w:rPr/>
        <w:t>provided on your Knowage application registered on ACS.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you need to configure a proxy, set </w:t>
      </w:r>
      <w:r>
        <w:rPr>
          <w:b/>
          <w:bCs/>
        </w:rPr>
        <w:t xml:space="preserve">PROXY_HOST </w:t>
      </w:r>
      <w:r>
        <w:rPr/>
        <w:t xml:space="preserve">and </w:t>
      </w:r>
      <w:r>
        <w:rPr>
          <w:b/>
          <w:bCs/>
        </w:rPr>
        <w:t xml:space="preserve">PROXY_PORT </w:t>
      </w:r>
      <w:r>
        <w:rPr/>
        <w:t>else, leave those values empty.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Once everything is set, open a </w:t>
      </w:r>
      <w:r>
        <w:rPr>
          <w:b/>
          <w:bCs/>
        </w:rPr>
        <w:t xml:space="preserve">command prompt </w:t>
      </w:r>
      <w:r>
        <w:rPr/>
        <w:t xml:space="preserve">on the same folder of the </w:t>
      </w:r>
      <w:r>
        <w:rPr>
          <w:b/>
          <w:bCs/>
        </w:rPr>
        <w:t>docker-compose</w:t>
      </w:r>
      <w:r>
        <w:rPr/>
        <w:t xml:space="preserve"> file.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If it's the first installation of the instance, or you want to update the version, then execute the command:</w:t>
      </w:r>
    </w:p>
    <w:p>
      <w:pPr>
        <w:pStyle w:val="Normal"/>
        <w:bidi w:val="0"/>
        <w:spacing w:lineRule="auto" w:line="259" w:beforeAutospacing="0" w:before="0" w:afterAutospacing="0" w:after="0"/>
        <w:ind w:left="1416" w:right="0" w:hanging="0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docker-compose up –d</w:t>
      </w:r>
    </w:p>
    <w:p>
      <w:pPr>
        <w:pStyle w:val="Normal"/>
        <w:bidi w:val="0"/>
        <w:spacing w:lineRule="auto" w:line="259" w:beforeAutospacing="0" w:before="0" w:afterAutospacing="0" w:after="0"/>
        <w:ind w:left="708" w:right="0" w:hanging="0"/>
        <w:jc w:val="left"/>
        <w:rPr/>
      </w:pPr>
      <w:r>
        <w:rPr/>
        <w:t>else, execute the command</w:t>
      </w:r>
    </w:p>
    <w:p>
      <w:pPr>
        <w:pStyle w:val="Normal"/>
        <w:ind w:left="1416" w:hanging="0"/>
        <w:rPr/>
      </w:pPr>
      <w:r>
        <w:rPr>
          <w:rFonts w:eastAsia="Courier New" w:cs="Courier New" w:ascii="Courier New" w:hAnsi="Courier New"/>
        </w:rPr>
        <w:t>docker-compose start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Wait until the service is fully started (it should take 1 minute or less).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Open a browser and paste the URL for logging in Knowage: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rPr>
          <w:rFonts w:ascii="Courier New" w:hAnsi="Courier New" w:eastAsia="Courier New" w:cs="Courier New"/>
          <w:sz w:val="18"/>
          <w:szCs w:val="18"/>
        </w:rPr>
      </w:pPr>
      <w:r>
        <w:rPr>
          <w:rFonts w:eastAsia="Courier New" w:cs="Courier New" w:ascii="Courier New" w:hAnsi="Courier New"/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Use the ACS account registered to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it's the first time, an </w:t>
      </w:r>
      <w:r>
        <w:rPr>
          <w:b/>
          <w:bCs/>
        </w:rPr>
        <w:t>Authorization</w:t>
      </w:r>
      <w:r>
        <w:rPr/>
        <w:t xml:space="preserve"> message will pop out to </w:t>
      </w:r>
      <w:r>
        <w:rPr>
          <w:b/>
          <w:bCs/>
        </w:rPr>
        <w:t>Allow</w:t>
      </w:r>
      <w:r>
        <w:rPr/>
        <w:t xml:space="preserve"> the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Execute the command docker-compose stop to stop the instance. That's wont delete your data from the container.</w:t>
      </w:r>
    </w:p>
    <w:p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Note: Using again docker-compose up -d to start the instance , will reset all the data and configuration made inside Knowage.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DSS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following table shows, for each Dashboard (DSS) , the name, which pilots use it and the datasets name that feed it.</w:t>
      </w:r>
    </w:p>
    <w:tbl>
      <w:tblPr>
        <w:tblStyle w:val="TableGrid"/>
        <w:tblW w:w="913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644"/>
        <w:gridCol w:w="1276"/>
        <w:gridCol w:w="2234"/>
        <w:gridCol w:w="2011"/>
        <w:gridCol w:w="2970"/>
      </w:tblGrid>
      <w:tr>
        <w:trPr/>
        <w:tc>
          <w:tcPr>
            <w:tcW w:w="644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Component</w:t>
            </w:r>
          </w:p>
        </w:tc>
        <w:tc>
          <w:tcPr>
            <w:tcW w:w="1276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</w:t>
            </w:r>
          </w:p>
        </w:tc>
        <w:tc>
          <w:tcPr>
            <w:tcW w:w="2234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 Name</w:t>
            </w:r>
          </w:p>
        </w:tc>
        <w:tc>
          <w:tcPr>
            <w:tcW w:w="2011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Pilot</w:t>
            </w:r>
          </w:p>
        </w:tc>
        <w:tc>
          <w:tcPr>
            <w:tcW w:w="2970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Datasets Name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DSS1.A1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A1 Plant Yield Estimation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1.1, 1.2, 1.3, 1.4, 3.4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4A1.DSS1.FieldBordersLayer, 4A1.DSS1.PredictedFieldValueLayer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DSS2.A2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A2 Plant Phenology Estimation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3.1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4A2_PhenologyEstimation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DSS3.A3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 Plant Stress Detection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4A3_PlantStressData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DSS5.A5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 Estimate Beehive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4A5_EstimateBeehive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DSS1.B1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 Irrigation Managemen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1.1, 1.2, 1.3, 3.1, 3.2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4B1_IrrigationManagement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DSS1.C1</w:t>
            </w:r>
          </w:p>
        </w:tc>
        <w:tc>
          <w:tcPr>
            <w:tcW w:w="2234" w:type="dxa"/>
            <w:tcBorders/>
          </w:tcPr>
          <w:p>
            <w:pPr>
              <w:pStyle w:val="Stile1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 Nitrogen Balance Model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4C1_NitrogenBalanceData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DSS1.C2.D1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 Nutrient and Sowing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recommendation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4C2_NutrientMonitorZones,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4C2_NutrientMonitorWeather, 4C2_NutrientMonitorParcel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Emission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N/A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 Field Operation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2.3, 5.1, 5.2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4D2_FieldOperation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DSS1.D3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 Variable Rate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3.4, 5.1, 5.2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4D3_VariableRate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 Pest Estimation with Sterile Fruit Flies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1.1, 1.2, 3.3, 5.1, 5.3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4E1_PestEstimation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 Estimate Temperature-Related Pest Events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3.1, 3.3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4E2_TempPestEvents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 Estimate Milk Production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4.1, 4.2, 4.4, 5.4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F1_EstimateMilkProduction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 Poultry Feeding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4F2_PoultryFeeding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Training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4G1.DSS1.AnimalWelfareTraining, 4G1.DSS1.AnimalWelfareMetrics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Prediction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4G1.DSS2.AnimalWelfarePrediction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 Poultry Well Being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4.3, 5.4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4G2_PoultryWellBeing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 Milk Quality Training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4H1.DSS1.MilkQualityMetrics, 4H1.DSS1.MilkQualityTraining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H1 Milk Quality 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>Prediction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4H1.DSS2.MilkQuality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 xml:space="preserve"> 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 Transport Condition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5.1, 5.4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4H2_TransportCondition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DSS1.I1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 Generic Farm Comparison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4I1_GenericFarmComparison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DSS1.I2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 Neighbour Benchmarking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4I2_NeighbourBenchmarking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DSS1.I3</w:t>
            </w:r>
          </w:p>
        </w:tc>
        <w:tc>
          <w:tcPr>
            <w:tcW w:w="223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 Technology Benchmarking</w:t>
            </w:r>
          </w:p>
        </w:tc>
        <w:tc>
          <w:tcPr>
            <w:tcW w:w="20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4I3_TechnologyBenchmarking</w:t>
            </w:r>
          </w:p>
        </w:tc>
      </w:tr>
    </w:tbl>
    <w:p>
      <w:pPr>
        <w:pStyle w:val="Normal"/>
        <w:rPr/>
      </w:pPr>
      <w:r>
        <w:rPr/>
        <w:t xml:space="preserve">   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Dataset configuration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The dataset configuration is optional and can be skipped if your component is registered within the BSE.</w:t>
      </w:r>
    </w:p>
    <w:p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After login into Knowage click on </w:t>
      </w:r>
      <w:r>
        <w:rPr>
          <w:b/>
          <w:bCs/>
        </w:rPr>
        <w:t xml:space="preserve">Menu </w:t>
      </w:r>
      <w:r>
        <w:rPr/>
        <w:t>at top-left.</w:t>
      </w:r>
    </w:p>
    <w:p>
      <w:pPr>
        <w:pStyle w:val="Normal"/>
        <w:rPr/>
      </w:pPr>
      <w:r>
        <w:rPr/>
        <w:drawing>
          <wp:inline distT="0" distB="0" distL="114935" distR="114935">
            <wp:extent cx="1066800" cy="2333625"/>
            <wp:effectExtent l="0" t="0" r="0" b="0"/>
            <wp:docPr id="10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Then click on</w:t>
      </w:r>
      <w:r>
        <w:rPr>
          <w:b/>
          <w:bCs/>
        </w:rPr>
        <w:t xml:space="preserve"> Data set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143125"/>
            <wp:effectExtent l="0" t="0" r="0" b="0"/>
            <wp:docPr id="11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A list of datasets will be loaded, input your component code into the </w:t>
      </w:r>
      <w:r>
        <w:rPr>
          <w:b/>
          <w:bCs/>
        </w:rPr>
        <w:t xml:space="preserve">search </w:t>
      </w:r>
      <w:r>
        <w:rPr/>
        <w:t>field to filter the list (i.e. "G1"). This funtionality will be very useful during the endpoint customization process.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847975"/>
            <wp:effectExtent l="0" t="0" r="0" b="0"/>
            <wp:docPr id="12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dataset you wish to configure and click on </w:t>
      </w:r>
      <w:r>
        <w:rPr>
          <w:b/>
          <w:bCs/>
        </w:rPr>
        <w:t>Type</w:t>
      </w:r>
      <w:r>
        <w:rPr/>
        <w:t xml:space="preserve"> , here you can change the default value for the endpoint </w:t>
      </w:r>
      <w:r>
        <w:rPr>
          <w:b/>
          <w:bCs/>
        </w:rPr>
        <w:t>URL parameter</w:t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Preview</w:t>
      </w:r>
      <w:r>
        <w:rPr/>
        <w:t xml:space="preserve"> to check the data,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247900"/>
            <wp:effectExtent l="0" t="0" r="0" b="0"/>
            <wp:docPr id="13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click the </w:t>
      </w:r>
      <w:r>
        <w:rPr>
          <w:b/>
          <w:bCs/>
        </w:rPr>
        <w:t>folder icon</w:t>
      </w:r>
      <w:r>
        <w:rPr/>
        <w:t xml:space="preserve"> on the top-left menu to open the dashboards explorer.</w:t>
      </w:r>
    </w:p>
    <w:p>
      <w:pPr>
        <w:pStyle w:val="Normal"/>
        <w:rPr/>
      </w:pPr>
      <w:r>
        <w:rPr/>
        <w:drawing>
          <wp:inline distT="0" distB="0" distL="114935" distR="114935">
            <wp:extent cx="666750" cy="2028825"/>
            <wp:effectExtent l="0" t="0" r="0" b="0"/>
            <wp:docPr id="14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Select your area and open the dashboard by clicking on the </w:t>
      </w:r>
      <w:r>
        <w:rPr>
          <w:b/>
          <w:bCs/>
        </w:rPr>
        <w:t>Play</w:t>
      </w:r>
      <w:r>
        <w:rPr/>
        <w:t xml:space="preserve"> button at right side.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200275"/>
            <wp:effectExtent l="0" t="0" r="0" b="0"/>
            <wp:docPr id="15" name="Immagin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Now click the </w:t>
      </w:r>
      <w:r>
        <w:rPr>
          <w:b/>
          <w:bCs/>
        </w:rPr>
        <w:t xml:space="preserve">Edit </w:t>
      </w:r>
      <w:r>
        <w:rPr/>
        <w:t>button on top-right side menu.</w:t>
      </w:r>
    </w:p>
    <w:p>
      <w:pPr>
        <w:pStyle w:val="Normal"/>
        <w:rPr/>
      </w:pPr>
      <w:r>
        <w:rPr/>
        <w:drawing>
          <wp:inline distT="0" distB="0" distL="114935" distR="114935">
            <wp:extent cx="2352675" cy="1438275"/>
            <wp:effectExtent l="0" t="0" r="0" b="0"/>
            <wp:docPr id="16" name="Immagin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the red circle to open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Data Configuration</w:t>
      </w:r>
    </w:p>
    <w:p>
      <w:pPr>
        <w:pStyle w:val="Normal"/>
        <w:rPr/>
      </w:pPr>
      <w:r>
        <w:rPr/>
        <w:drawing>
          <wp:inline distT="0" distB="0" distL="114935" distR="114935">
            <wp:extent cx="3333750" cy="1352550"/>
            <wp:effectExtent l="0" t="0" r="0" b="0"/>
            <wp:docPr id="17" name="Immagin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Here you will notice the same </w:t>
      </w:r>
      <w:r>
        <w:rPr>
          <w:b/>
          <w:bCs/>
        </w:rPr>
        <w:t>endpoint URL parameter</w:t>
      </w:r>
      <w:r>
        <w:rPr/>
        <w:t xml:space="preserve"> that need to be changed with the new one,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14935" distR="114935">
            <wp:extent cx="5826760" cy="2609850"/>
            <wp:effectExtent l="0" t="0" r="0" b="0"/>
            <wp:docPr id="18" name="Immagin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again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Clear Cache</w:t>
      </w:r>
      <w:r>
        <w:rPr/>
        <w:t xml:space="preserve"> first, then </w:t>
      </w:r>
      <w:r>
        <w:rPr>
          <w:b/>
          <w:bCs/>
        </w:rPr>
        <w:t xml:space="preserve">Save </w:t>
      </w:r>
      <w:r>
        <w:rPr/>
        <w:t>the cockpit.</w:t>
      </w:r>
    </w:p>
    <w:p>
      <w:pPr>
        <w:pStyle w:val="Normal"/>
        <w:rPr/>
      </w:pPr>
      <w:r>
        <w:rPr/>
        <w:drawing>
          <wp:inline distT="0" distB="0" distL="114935" distR="114935">
            <wp:extent cx="3343275" cy="1581150"/>
            <wp:effectExtent l="0" t="0" r="0" b="0"/>
            <wp:docPr id="19" name="Immagin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eye to go back in </w:t>
      </w:r>
      <w:r>
        <w:rPr>
          <w:b/>
          <w:bCs/>
        </w:rPr>
        <w:t>View mode</w:t>
      </w:r>
      <w:r>
        <w:rPr/>
        <w:t xml:space="preserve"> or </w:t>
      </w:r>
      <w:r>
        <w:rPr>
          <w:b/>
          <w:bCs/>
        </w:rPr>
        <w:t xml:space="preserve">close </w:t>
      </w:r>
      <w:r>
        <w:rPr/>
        <w:t xml:space="preserve">and </w:t>
      </w:r>
      <w:r>
        <w:rPr>
          <w:b/>
          <w:bCs/>
        </w:rPr>
        <w:t>re-open</w:t>
      </w:r>
      <w:r>
        <w:rPr/>
        <w:t xml:space="preserve"> the dashboard.</w:t>
      </w:r>
    </w:p>
    <w:p>
      <w:pPr>
        <w:pStyle w:val="Normal"/>
        <w:rPr/>
      </w:pPr>
      <w:r>
        <w:rPr/>
        <w:drawing>
          <wp:inline distT="0" distB="0" distL="114935" distR="114935">
            <wp:extent cx="2124075" cy="523875"/>
            <wp:effectExtent l="0" t="0" r="0" b="0"/>
            <wp:docPr id="20" name="Immagin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 execution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logged in, click the </w:t>
      </w:r>
      <w:r>
        <w:rPr>
          <w:b/>
          <w:bCs/>
        </w:rPr>
        <w:t>folder icon</w:t>
      </w:r>
      <w:r>
        <w:rPr/>
        <w:t xml:space="preserve"> on the left side menu.</w:t>
      </w:r>
    </w:p>
    <w:p>
      <w:pPr>
        <w:pStyle w:val="Normal"/>
        <w:rPr/>
      </w:pPr>
      <w:r>
        <w:rPr/>
        <w:drawing>
          <wp:inline distT="0" distB="0" distL="114935" distR="114935">
            <wp:extent cx="666750" cy="2028825"/>
            <wp:effectExtent l="0" t="0" r="0" b="0"/>
            <wp:docPr id="21" name="Immagin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This will open the cockpit window, with a list (</w:t>
      </w:r>
      <w:r>
        <w:rPr>
          <w:b/>
          <w:bCs/>
        </w:rPr>
        <w:t>Functionalities</w:t>
      </w:r>
      <w:r>
        <w:rPr>
          <w:b w:val="false"/>
          <w:bCs w:val="false"/>
        </w:rPr>
        <w:t>)</w:t>
      </w:r>
      <w:r>
        <w:rPr>
          <w:b/>
          <w:bCs/>
        </w:rPr>
        <w:t xml:space="preserve"> </w:t>
      </w:r>
      <w:r>
        <w:rPr/>
        <w:t xml:space="preserve"> containing each </w:t>
      </w:r>
      <w:r>
        <w:rPr>
          <w:b/>
          <w:bCs/>
        </w:rPr>
        <w:t>area component</w:t>
      </w:r>
      <w:r>
        <w:rPr/>
        <w:t>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the desired area to show up the relative list of </w:t>
      </w:r>
      <w:r>
        <w:rPr>
          <w:b/>
          <w:bCs/>
        </w:rPr>
        <w:t>dashboards</w:t>
      </w:r>
      <w:r>
        <w:rPr/>
        <w:t xml:space="preserve"> developed.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To open a dashboard simply click on the "</w:t>
      </w:r>
      <w:r>
        <w:rPr>
          <w:b/>
          <w:bCs/>
        </w:rPr>
        <w:t>play</w:t>
      </w:r>
      <w:r>
        <w:rPr/>
        <w:t>" button at the right side of the dashboard description.</w:t>
      </w:r>
    </w:p>
    <w:p>
      <w:pPr>
        <w:pStyle w:val="Normal"/>
        <w:rPr/>
      </w:pPr>
      <w:r>
        <w:rPr/>
        <w:drawing>
          <wp:inline distT="0" distB="0" distL="114935" distR="114935">
            <wp:extent cx="6076315" cy="2924175"/>
            <wp:effectExtent l="0" t="0" r="0" b="0"/>
            <wp:docPr id="22" name="Immagin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Dashboards view by role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Management of </w:t>
      </w:r>
      <w:r>
        <w:rPr>
          <w:b/>
          <w:bCs/>
        </w:rPr>
        <w:t xml:space="preserve">roles </w:t>
      </w:r>
      <w:r>
        <w:rPr/>
        <w:t xml:space="preserve">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14935" distR="114935">
            <wp:extent cx="6115050" cy="3108325"/>
            <wp:effectExtent l="0" t="0" r="0" b="0"/>
            <wp:docPr id="23" name="Immagin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List of </w:t>
      </w:r>
      <w:r>
        <w:rPr>
          <w:b/>
          <w:bCs/>
        </w:rPr>
        <w:t>user roles</w:t>
      </w:r>
      <w:r>
        <w:rPr/>
        <w:t xml:space="preserve"> by </w:t>
      </w:r>
      <w:r>
        <w:rPr>
          <w:b/>
          <w:bCs/>
        </w:rPr>
        <w:t>pilot</w:t>
      </w:r>
      <w:r>
        <w:rPr/>
        <w:t xml:space="preserve">, visible and manageable 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114935" distR="114935">
            <wp:extent cx="6140450" cy="3095625"/>
            <wp:effectExtent l="0" t="0" r="0" b="0"/>
            <wp:docPr id="24" name="Immagin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 xml:space="preserve"> </w:t>
      </w:r>
      <w:r>
        <w:rPr>
          <w:b/>
          <w:bCs/>
        </w:rPr>
        <w:t>Pilot x.y</w:t>
      </w:r>
      <w:r>
        <w:rPr/>
        <w:t xml:space="preserve"> user login.</w:t>
      </w:r>
    </w:p>
    <w:p>
      <w:pPr>
        <w:pStyle w:val="Normal"/>
        <w:rPr/>
      </w:pPr>
      <w:r>
        <w:rPr/>
        <w:drawing>
          <wp:inline distT="0" distB="0" distL="114935" distR="114935">
            <wp:extent cx="6102350" cy="3076575"/>
            <wp:effectExtent l="0" t="0" r="0" b="0"/>
            <wp:docPr id="25" name="Immagin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View dashboards list for </w:t>
      </w:r>
      <w:r>
        <w:rPr>
          <w:b/>
          <w:bCs/>
        </w:rPr>
        <w:t>Pilot x.y user</w:t>
      </w:r>
      <w:r>
        <w:rPr/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114935" distR="114935">
            <wp:extent cx="6124575" cy="3088005"/>
            <wp:effectExtent l="0" t="0" r="0" b="0"/>
            <wp:docPr id="26" name="Immagin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ile1Char" w:customStyle="1">
    <w:name w:val="Stile1 Char"/>
    <w:basedOn w:val="DefaultParagraphFont"/>
    <w:link w:val="Stile1"/>
    <w:qFormat/>
    <w:rsid w:val="5a933439"/>
    <w:rPr/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itoloprincipa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Stile1" w:customStyle="1">
    <w:name w:val="Stile1"/>
    <w:basedOn w:val="Normal"/>
    <w:link w:val="Stile1Char"/>
    <w:qFormat/>
    <w:rsid w:val="5a933439"/>
    <w:pPr/>
    <w:rPr/>
  </w:style>
  <w:style w:type="paragraph" w:styleId="Contenutotabella">
    <w:name w:val="Contenuto tabel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hub.docker.com/r/demeterengteam/knowage-7.2.0/tags?page=1&amp;ordering=last_updated" TargetMode="External"/><Relationship Id="rId11" Type="http://schemas.openxmlformats.org/officeDocument/2006/relationships/hyperlink" Target="https://hub.docker.com/r/demeterengteam/knowagedb-7.2.0/tags?page=1&amp;ordering=last_updated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LibreOffice/7.0.3.1$Windows_X86_64 LibreOffice_project/d7547858d014d4cf69878db179d326fc3483e082</Application>
  <Pages>15</Pages>
  <Words>1462</Words>
  <Characters>8590</Characters>
  <CharactersWithSpaces>9740</CharactersWithSpaces>
  <Paragraphs>297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2021-07-28T14:21:24Z</dcterms:created>
  <dc:creator>Gianluca Isgro'</dc:creator>
  <dc:description/>
  <dc:language>it-IT</dc:language>
  <cp:lastModifiedBy/>
  <dcterms:modified xsi:type="dcterms:W3CDTF">2021-07-30T12:11:52Z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