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FFD6F" w14:textId="245A6665" w:rsidR="002A0B11" w:rsidRPr="000B35E1" w:rsidRDefault="00CE4073" w:rsidP="00301E3A">
      <w:pPr>
        <w:pStyle w:val="Heading1"/>
        <w:jc w:val="center"/>
        <w:rPr>
          <w:rFonts w:asciiTheme="minorHAnsi" w:hAnsiTheme="minorHAnsi"/>
        </w:rPr>
      </w:pPr>
      <w:r>
        <w:rPr>
          <w:rFonts w:asciiTheme="minorHAnsi" w:hAnsiTheme="minorHAnsi"/>
        </w:rPr>
        <w:t xml:space="preserve">Luna </w:t>
      </w:r>
      <w:r w:rsidRPr="00CE4073">
        <w:rPr>
          <w:rFonts w:asciiTheme="minorHAnsi" w:hAnsiTheme="minorHAnsi"/>
        </w:rPr>
        <w:t>Advanced Sensing and Control Platform</w:t>
      </w:r>
    </w:p>
    <w:p w14:paraId="6DDA30DC" w14:textId="7324C563" w:rsidR="002A0B11" w:rsidRPr="000B35E1" w:rsidRDefault="002A0B11" w:rsidP="00CE4073"/>
    <w:p w14:paraId="7895C801" w14:textId="23700BD7" w:rsidR="002A0B11" w:rsidRPr="000B35E1" w:rsidRDefault="00CE4073">
      <w:pPr>
        <w:pStyle w:val="Heading2"/>
        <w:rPr>
          <w:rFonts w:asciiTheme="minorHAnsi" w:hAnsiTheme="minorHAnsi"/>
        </w:rPr>
      </w:pPr>
      <w:r>
        <w:rPr>
          <w:rFonts w:asciiTheme="minorHAnsi" w:hAnsiTheme="minorHAnsi"/>
        </w:rPr>
        <w:t>1</w:t>
      </w:r>
      <w:r w:rsidR="00000000" w:rsidRPr="000B35E1">
        <w:rPr>
          <w:rFonts w:asciiTheme="minorHAnsi" w:hAnsiTheme="minorHAnsi"/>
        </w:rPr>
        <w:t>. System Architecture</w:t>
      </w:r>
    </w:p>
    <w:p w14:paraId="7A0B5F70" w14:textId="11A49924" w:rsidR="00CE4073" w:rsidRDefault="00CE4073">
      <w:r>
        <w:t>Currently we have multiple reference designs and circuits that we need to combine into a single PCB.</w:t>
      </w:r>
    </w:p>
    <w:p w14:paraId="2526D131" w14:textId="02C927E0" w:rsidR="002A0B11" w:rsidRPr="000B35E1" w:rsidRDefault="00000000">
      <w:r w:rsidRPr="000B35E1">
        <w:t>The PCB will include the following primary subsystems:</w:t>
      </w:r>
    </w:p>
    <w:p w14:paraId="5D33FDF8" w14:textId="77777777" w:rsidR="002A0B11" w:rsidRPr="000B35E1" w:rsidRDefault="00000000">
      <w:pPr>
        <w:pStyle w:val="Heading2"/>
        <w:rPr>
          <w:rFonts w:asciiTheme="minorHAnsi" w:hAnsiTheme="minorHAnsi"/>
        </w:rPr>
      </w:pPr>
      <w:r w:rsidRPr="000B35E1">
        <w:rPr>
          <w:rFonts w:asciiTheme="minorHAnsi" w:hAnsiTheme="minorHAnsi"/>
        </w:rPr>
        <w:t>Analog Sensing:</w:t>
      </w:r>
    </w:p>
    <w:p w14:paraId="272DC87B" w14:textId="32F68098" w:rsidR="00301E3A" w:rsidRPr="000B35E1" w:rsidRDefault="00000000" w:rsidP="00301E3A">
      <w:pPr>
        <w:pStyle w:val="ListParagraph"/>
        <w:numPr>
          <w:ilvl w:val="0"/>
          <w:numId w:val="10"/>
        </w:numPr>
      </w:pPr>
      <w:r w:rsidRPr="000B35E1">
        <w:t>AD5940 Sensing Electronics (with emphasis on isolation and precision)</w:t>
      </w:r>
      <w:r w:rsidR="00D42300">
        <w:t xml:space="preserve"> </w:t>
      </w:r>
      <w:r w:rsidR="00D42300" w:rsidRPr="00D42300">
        <w:rPr>
          <w:b/>
          <w:bCs/>
        </w:rPr>
        <w:t>– there should be a dev board or reference design that can be used for this.</w:t>
      </w:r>
    </w:p>
    <w:p w14:paraId="2EA303A3" w14:textId="417ECFFB" w:rsidR="002A0B11" w:rsidRPr="000B35E1" w:rsidRDefault="00000000" w:rsidP="00301E3A">
      <w:pPr>
        <w:pStyle w:val="ListParagraph"/>
        <w:numPr>
          <w:ilvl w:val="0"/>
          <w:numId w:val="10"/>
        </w:numPr>
      </w:pPr>
      <w:r w:rsidRPr="000B35E1">
        <w:t>Enhanced Analog Front End (AFE) for Electrochemical (CA/EIS) measurements</w:t>
      </w:r>
      <w:r w:rsidR="00D42300">
        <w:t xml:space="preserve"> - </w:t>
      </w:r>
    </w:p>
    <w:p w14:paraId="3ECF5750" w14:textId="615F11F2" w:rsidR="002A0B11" w:rsidRPr="000B35E1" w:rsidRDefault="00000000">
      <w:pPr>
        <w:pStyle w:val="Heading2"/>
        <w:rPr>
          <w:rFonts w:asciiTheme="minorHAnsi" w:hAnsiTheme="minorHAnsi"/>
        </w:rPr>
      </w:pPr>
      <w:r w:rsidRPr="000B35E1">
        <w:rPr>
          <w:rFonts w:asciiTheme="minorHAnsi" w:hAnsiTheme="minorHAnsi"/>
        </w:rPr>
        <w:t>Heater Control:</w:t>
      </w:r>
      <w:r w:rsidR="008A569B">
        <w:rPr>
          <w:rFonts w:asciiTheme="minorHAnsi" w:hAnsiTheme="minorHAnsi"/>
        </w:rPr>
        <w:t xml:space="preserve"> - </w:t>
      </w:r>
      <w:r w:rsidR="00CE4073">
        <w:rPr>
          <w:rFonts w:asciiTheme="minorHAnsi" w:hAnsiTheme="minorHAnsi"/>
        </w:rPr>
        <w:t xml:space="preserve">We need </w:t>
      </w:r>
      <w:r w:rsidR="008A569B">
        <w:rPr>
          <w:rFonts w:asciiTheme="minorHAnsi" w:hAnsiTheme="minorHAnsi"/>
        </w:rPr>
        <w:t xml:space="preserve">a DC/DC converter to provide current to </w:t>
      </w:r>
      <w:r w:rsidR="00CE4073">
        <w:rPr>
          <w:rFonts w:asciiTheme="minorHAnsi" w:hAnsiTheme="minorHAnsi"/>
        </w:rPr>
        <w:t xml:space="preserve">a </w:t>
      </w:r>
      <w:r w:rsidR="008A569B">
        <w:rPr>
          <w:rFonts w:asciiTheme="minorHAnsi" w:hAnsiTheme="minorHAnsi"/>
        </w:rPr>
        <w:t>heater circuit</w:t>
      </w:r>
    </w:p>
    <w:p w14:paraId="33555C66" w14:textId="1AE47A06" w:rsidR="002A0B11" w:rsidRDefault="00000000" w:rsidP="00301E3A">
      <w:pPr>
        <w:pStyle w:val="ListParagraph"/>
        <w:numPr>
          <w:ilvl w:val="0"/>
          <w:numId w:val="11"/>
        </w:numPr>
      </w:pPr>
      <w:r w:rsidRPr="000B35E1">
        <w:t>High-precision heater drive circuit</w:t>
      </w:r>
      <w:r w:rsidR="007B35B5">
        <w:t xml:space="preserve"> (DC/DC converter)</w:t>
      </w:r>
      <w:r w:rsidRPr="000B35E1">
        <w:t xml:space="preserve"> supporting both constant current (CC) and constant voltage (CV) modes</w:t>
      </w:r>
    </w:p>
    <w:p w14:paraId="1B3B205D" w14:textId="30EE2177" w:rsidR="00CE4073" w:rsidRPr="000B35E1" w:rsidRDefault="00CE4073" w:rsidP="00301E3A">
      <w:pPr>
        <w:pStyle w:val="ListParagraph"/>
        <w:numPr>
          <w:ilvl w:val="0"/>
          <w:numId w:val="11"/>
        </w:numPr>
      </w:pPr>
      <w:r>
        <w:t xml:space="preserve">The DC/DC converter will be controlled with the NXP processor, it will need to read the voltage drop across a </w:t>
      </w:r>
      <w:r>
        <w:t>thermistor</w:t>
      </w:r>
      <w:r>
        <w:t xml:space="preserve"> with an ADC pin. </w:t>
      </w:r>
      <w:r w:rsidRPr="00D42300">
        <w:rPr>
          <w:b/>
          <w:bCs/>
        </w:rPr>
        <w:t>For this we will u</w:t>
      </w:r>
      <w:r w:rsidRPr="00D42300">
        <w:rPr>
          <w:b/>
          <w:bCs/>
        </w:rPr>
        <w:t xml:space="preserve">se the sensing circuit from </w:t>
      </w:r>
      <w:r w:rsidRPr="00D42300">
        <w:rPr>
          <w:b/>
          <w:bCs/>
        </w:rPr>
        <w:t xml:space="preserve">the </w:t>
      </w:r>
      <w:proofErr w:type="spellStart"/>
      <w:r w:rsidRPr="00D42300">
        <w:rPr>
          <w:b/>
          <w:bCs/>
        </w:rPr>
        <w:t>WinLogi</w:t>
      </w:r>
      <w:r w:rsidRPr="00D42300">
        <w:rPr>
          <w:b/>
          <w:bCs/>
        </w:rPr>
        <w:t>c</w:t>
      </w:r>
      <w:proofErr w:type="spellEnd"/>
      <w:r w:rsidRPr="00D42300">
        <w:rPr>
          <w:b/>
          <w:bCs/>
        </w:rPr>
        <w:t xml:space="preserve"> project</w:t>
      </w:r>
      <w:r w:rsidR="00D42300">
        <w:rPr>
          <w:b/>
          <w:bCs/>
        </w:rPr>
        <w:t xml:space="preserve"> as I have tested it and verified that it works</w:t>
      </w:r>
      <w:r w:rsidRPr="00D42300">
        <w:rPr>
          <w:b/>
          <w:bCs/>
        </w:rPr>
        <w:t>, I will provide the circuitry</w:t>
      </w:r>
      <w:r>
        <w:t>.</w:t>
      </w:r>
    </w:p>
    <w:p w14:paraId="6CC681B4" w14:textId="5F893192" w:rsidR="002A0B11" w:rsidRPr="000B35E1" w:rsidRDefault="00000000">
      <w:pPr>
        <w:pStyle w:val="Heading2"/>
        <w:rPr>
          <w:rFonts w:asciiTheme="minorHAnsi" w:hAnsiTheme="minorHAnsi"/>
        </w:rPr>
      </w:pPr>
      <w:r w:rsidRPr="000B35E1">
        <w:rPr>
          <w:rFonts w:asciiTheme="minorHAnsi" w:hAnsiTheme="minorHAnsi"/>
        </w:rPr>
        <w:t>Wireless Communications:</w:t>
      </w:r>
      <w:r w:rsidR="006A3D01">
        <w:rPr>
          <w:rFonts w:asciiTheme="minorHAnsi" w:hAnsiTheme="minorHAnsi"/>
        </w:rPr>
        <w:t xml:space="preserve"> - Would be nice to have this included in the board, but could sit in a carrier board</w:t>
      </w:r>
    </w:p>
    <w:p w14:paraId="166ACFA1" w14:textId="36C81844" w:rsidR="002A0B11" w:rsidRPr="000B35E1" w:rsidRDefault="00000000" w:rsidP="00301E3A">
      <w:pPr>
        <w:pStyle w:val="ListParagraph"/>
        <w:numPr>
          <w:ilvl w:val="0"/>
          <w:numId w:val="11"/>
        </w:numPr>
      </w:pPr>
      <w:r w:rsidRPr="000B35E1">
        <w:t xml:space="preserve">Options include </w:t>
      </w:r>
      <w:proofErr w:type="spellStart"/>
      <w:r w:rsidRPr="000B35E1">
        <w:t>LoRaWAN</w:t>
      </w:r>
      <w:proofErr w:type="spellEnd"/>
      <w:r w:rsidRPr="000B35E1">
        <w:t xml:space="preserve"> and cellular (LTE variants: NB-IO</w:t>
      </w:r>
      <w:r w:rsidR="006A3D01">
        <w:t>T</w:t>
      </w:r>
      <w:r w:rsidRPr="000B35E1">
        <w:t>, LTE-M)</w:t>
      </w:r>
    </w:p>
    <w:p w14:paraId="1AAC0312" w14:textId="799F3C34" w:rsidR="002A0B11" w:rsidRPr="000B35E1" w:rsidRDefault="00000000">
      <w:pPr>
        <w:pStyle w:val="Heading2"/>
        <w:rPr>
          <w:rFonts w:asciiTheme="minorHAnsi" w:hAnsiTheme="minorHAnsi"/>
        </w:rPr>
      </w:pPr>
      <w:r w:rsidRPr="000B35E1">
        <w:rPr>
          <w:rFonts w:asciiTheme="minorHAnsi" w:hAnsiTheme="minorHAnsi"/>
        </w:rPr>
        <w:t>Other Communication Interfaces:</w:t>
      </w:r>
    </w:p>
    <w:p w14:paraId="53FE8A20" w14:textId="4EB7BF2E" w:rsidR="002A0B11" w:rsidRPr="000B35E1" w:rsidRDefault="00D42300" w:rsidP="00301E3A">
      <w:pPr>
        <w:pStyle w:val="ListParagraph"/>
        <w:numPr>
          <w:ilvl w:val="0"/>
          <w:numId w:val="11"/>
        </w:numPr>
      </w:pPr>
      <w:r>
        <w:t xml:space="preserve">There will be some additional GPIOs on the NXP processor that can be used </w:t>
      </w:r>
      <w:r w:rsidR="00000000" w:rsidRPr="000B35E1">
        <w:t>for I²C, SPI, UART, RS-485, and CAN/FD bus</w:t>
      </w:r>
      <w:r>
        <w:t xml:space="preserve"> </w:t>
      </w:r>
      <w:r w:rsidRPr="00D42300">
        <w:rPr>
          <w:b/>
          <w:bCs/>
        </w:rPr>
        <w:t xml:space="preserve">- Connect </w:t>
      </w:r>
      <w:r>
        <w:rPr>
          <w:b/>
          <w:bCs/>
        </w:rPr>
        <w:t xml:space="preserve">the </w:t>
      </w:r>
      <w:r w:rsidRPr="00D42300">
        <w:rPr>
          <w:b/>
          <w:bCs/>
        </w:rPr>
        <w:t>unused pins to a pin header</w:t>
      </w:r>
      <w:r>
        <w:rPr>
          <w:b/>
          <w:bCs/>
        </w:rPr>
        <w:t xml:space="preserve"> but try to group the pins by interface</w:t>
      </w:r>
    </w:p>
    <w:p w14:paraId="6705DD7E" w14:textId="6DCE5ECB" w:rsidR="002A0B11" w:rsidRPr="000B35E1" w:rsidRDefault="00000000">
      <w:pPr>
        <w:pStyle w:val="Heading2"/>
        <w:rPr>
          <w:rFonts w:asciiTheme="minorHAnsi" w:hAnsiTheme="minorHAnsi"/>
        </w:rPr>
      </w:pPr>
      <w:r w:rsidRPr="000B35E1">
        <w:rPr>
          <w:rFonts w:asciiTheme="minorHAnsi" w:hAnsiTheme="minorHAnsi"/>
        </w:rPr>
        <w:t>Subsystems:</w:t>
      </w:r>
      <w:r w:rsidR="006A3D01">
        <w:rPr>
          <w:rFonts w:asciiTheme="minorHAnsi" w:hAnsiTheme="minorHAnsi"/>
        </w:rPr>
        <w:t xml:space="preserve"> - Combine everything in this list into </w:t>
      </w:r>
      <w:r w:rsidR="00CC086A">
        <w:rPr>
          <w:rFonts w:asciiTheme="minorHAnsi" w:hAnsiTheme="minorHAnsi"/>
        </w:rPr>
        <w:t xml:space="preserve">the </w:t>
      </w:r>
      <w:r w:rsidR="006A3D01">
        <w:rPr>
          <w:rFonts w:asciiTheme="minorHAnsi" w:hAnsiTheme="minorHAnsi"/>
        </w:rPr>
        <w:t>board</w:t>
      </w:r>
    </w:p>
    <w:p w14:paraId="019D2771" w14:textId="77777777" w:rsidR="00CC086A" w:rsidRDefault="00CC086A" w:rsidP="00CC086A">
      <w:pPr>
        <w:pStyle w:val="ListParagraph"/>
        <w:numPr>
          <w:ilvl w:val="0"/>
          <w:numId w:val="11"/>
        </w:numPr>
      </w:pPr>
      <w:r w:rsidRPr="000B35E1">
        <w:t>Main controller: NXP i.MX RT1176</w:t>
      </w:r>
    </w:p>
    <w:p w14:paraId="64DB98DE" w14:textId="41FED880" w:rsidR="00C06B0C" w:rsidRDefault="00C06B0C" w:rsidP="00C06B0C">
      <w:pPr>
        <w:pStyle w:val="ListParagraph"/>
        <w:numPr>
          <w:ilvl w:val="1"/>
          <w:numId w:val="11"/>
        </w:numPr>
      </w:pPr>
      <w:r>
        <w:t>There is a 3</w:t>
      </w:r>
      <w:r w:rsidRPr="00C06B0C">
        <w:rPr>
          <w:vertAlign w:val="superscript"/>
        </w:rPr>
        <w:t>rd</w:t>
      </w:r>
      <w:r>
        <w:t xml:space="preserve"> party module that might be useful for a reference design: </w:t>
      </w:r>
      <w:hyperlink r:id="rId6" w:history="1">
        <w:r w:rsidRPr="005F212E">
          <w:rPr>
            <w:rStyle w:val="Hyperlink"/>
          </w:rPr>
          <w:t>https://www.tq-group.com/en/products/tq-embedded/arm-architecture/tqma117xl/</w:t>
        </w:r>
      </w:hyperlink>
    </w:p>
    <w:p w14:paraId="56BB6CEC" w14:textId="55523E8B" w:rsidR="00C06B0C" w:rsidRDefault="00C06B0C" w:rsidP="00C06B0C">
      <w:pPr>
        <w:pStyle w:val="ListParagraph"/>
        <w:numPr>
          <w:ilvl w:val="1"/>
          <w:numId w:val="11"/>
        </w:numPr>
      </w:pPr>
      <w:r>
        <w:t xml:space="preserve">If the TQ Group files cannot be accessed, there is a reference design for the NXP i.MX RT1176 evaluation board: </w:t>
      </w:r>
      <w:hyperlink r:id="rId7" w:history="1">
        <w:r w:rsidRPr="005042C6">
          <w:rPr>
            <w:rStyle w:val="Hyperlink"/>
          </w:rPr>
          <w:t>https://www.nxp.com/design/design-center/development-boards-and-designs/i-mx-evaluation-and-development-boards/i-mx-rt1170-evaluation-kit:MIMXRT1170-EVKB</w:t>
        </w:r>
      </w:hyperlink>
    </w:p>
    <w:p w14:paraId="5AC877BE" w14:textId="60209869" w:rsidR="00301E3A" w:rsidRPr="000B35E1" w:rsidRDefault="00CC086A" w:rsidP="00301E3A">
      <w:pPr>
        <w:pStyle w:val="ListParagraph"/>
        <w:numPr>
          <w:ilvl w:val="0"/>
          <w:numId w:val="11"/>
        </w:numPr>
      </w:pPr>
      <w:r>
        <w:lastRenderedPageBreak/>
        <w:t>There is a set of e</w:t>
      </w:r>
      <w:r w:rsidR="00000000" w:rsidRPr="000B35E1">
        <w:t>xternal sensors on a small PCB (humidity, temperature, pressure)</w:t>
      </w:r>
      <w:r>
        <w:t>,</w:t>
      </w:r>
      <w:r w:rsidR="00D42300">
        <w:t xml:space="preserve"> this external board </w:t>
      </w:r>
      <w:r>
        <w:t xml:space="preserve">will need to connect to the Luna PCB possibly </w:t>
      </w:r>
      <w:r w:rsidR="00000000" w:rsidRPr="000B35E1">
        <w:t>via a</w:t>
      </w:r>
      <w:r>
        <w:t>n</w:t>
      </w:r>
      <w:r w:rsidR="00000000" w:rsidRPr="000B35E1">
        <w:t xml:space="preserve"> </w:t>
      </w:r>
      <w:r>
        <w:t>FPC</w:t>
      </w:r>
    </w:p>
    <w:p w14:paraId="746CF324" w14:textId="5DDE34E3" w:rsidR="00301E3A" w:rsidRPr="000B35E1" w:rsidRDefault="00D42300" w:rsidP="00301E3A">
      <w:pPr>
        <w:pStyle w:val="ListParagraph"/>
        <w:numPr>
          <w:ilvl w:val="0"/>
          <w:numId w:val="11"/>
        </w:numPr>
      </w:pPr>
      <w:r>
        <w:t>We will need an o</w:t>
      </w:r>
      <w:r w:rsidR="00000000" w:rsidRPr="000B35E1">
        <w:t>n-board temperature sensor</w:t>
      </w:r>
      <w:r>
        <w:t>, such as a Bosch environmental sensor</w:t>
      </w:r>
    </w:p>
    <w:p w14:paraId="6F1E221C" w14:textId="25BD4380" w:rsidR="00301E3A" w:rsidRPr="000B35E1" w:rsidRDefault="00D42300" w:rsidP="00301E3A">
      <w:pPr>
        <w:pStyle w:val="ListParagraph"/>
        <w:numPr>
          <w:ilvl w:val="0"/>
          <w:numId w:val="11"/>
        </w:numPr>
      </w:pPr>
      <w:r>
        <w:t xml:space="preserve">We will include the </w:t>
      </w:r>
      <w:r w:rsidR="00000000" w:rsidRPr="000B35E1">
        <w:t>CORAL TPU for machine learning tasks</w:t>
      </w:r>
      <w:r>
        <w:t>, I have provided the Coral Dev Board reference design to help with this</w:t>
      </w:r>
    </w:p>
    <w:p w14:paraId="3BBF6AA8" w14:textId="77777777" w:rsidR="00301E3A" w:rsidRPr="000B35E1" w:rsidRDefault="00000000" w:rsidP="00301E3A">
      <w:pPr>
        <w:pStyle w:val="ListParagraph"/>
        <w:numPr>
          <w:ilvl w:val="0"/>
          <w:numId w:val="11"/>
        </w:numPr>
      </w:pPr>
      <w:r w:rsidRPr="000B35E1">
        <w:t>Crypto chip/secure element (SEO50)</w:t>
      </w:r>
    </w:p>
    <w:p w14:paraId="4747A02A" w14:textId="4414C990" w:rsidR="002A0B11" w:rsidRPr="000B35E1" w:rsidRDefault="00000000">
      <w:pPr>
        <w:pStyle w:val="Heading2"/>
        <w:rPr>
          <w:rFonts w:asciiTheme="minorHAnsi" w:hAnsiTheme="minorHAnsi"/>
        </w:rPr>
      </w:pPr>
      <w:r w:rsidRPr="000B35E1">
        <w:rPr>
          <w:rFonts w:asciiTheme="minorHAnsi" w:hAnsiTheme="minorHAnsi"/>
        </w:rPr>
        <w:t>Power Management:</w:t>
      </w:r>
      <w:r w:rsidR="00EC0A92">
        <w:rPr>
          <w:rFonts w:asciiTheme="minorHAnsi" w:hAnsiTheme="minorHAnsi"/>
        </w:rPr>
        <w:t xml:space="preserve"> - Need to provide analog supply and separate digital supply</w:t>
      </w:r>
    </w:p>
    <w:p w14:paraId="6C73D5EF" w14:textId="77777777" w:rsidR="00301E3A" w:rsidRPr="000B35E1" w:rsidRDefault="00000000" w:rsidP="00301E3A">
      <w:pPr>
        <w:pStyle w:val="ListParagraph"/>
        <w:numPr>
          <w:ilvl w:val="0"/>
          <w:numId w:val="12"/>
        </w:numPr>
      </w:pPr>
      <w:r w:rsidRPr="000B35E1">
        <w:t>PMIC power control (e.g., MPF5020 or a similar device)</w:t>
      </w:r>
    </w:p>
    <w:p w14:paraId="21D8348A" w14:textId="65EDBCE0" w:rsidR="002A0B11" w:rsidRPr="000B35E1" w:rsidRDefault="00000000" w:rsidP="00301E3A">
      <w:pPr>
        <w:jc w:val="both"/>
        <w:rPr>
          <w:color w:val="FF0000"/>
          <w:sz w:val="20"/>
          <w:szCs w:val="20"/>
        </w:rPr>
      </w:pPr>
      <w:r w:rsidRPr="000B35E1">
        <w:rPr>
          <w:color w:val="FF0000"/>
          <w:sz w:val="20"/>
          <w:szCs w:val="20"/>
        </w:rPr>
        <w:t>Note: The design must enable selective integration so that optional subsystems (such as the Coral TPU or specific wireless modules) can be removed or left unpopulated without compromising the overall system integrity.</w:t>
      </w:r>
    </w:p>
    <w:p w14:paraId="7E645E55" w14:textId="77777777" w:rsidR="002A0B11" w:rsidRPr="000B35E1" w:rsidRDefault="00000000" w:rsidP="00301E3A">
      <w:pPr>
        <w:pStyle w:val="Heading2"/>
        <w:spacing w:line="240" w:lineRule="auto"/>
        <w:rPr>
          <w:rFonts w:asciiTheme="minorHAnsi" w:hAnsiTheme="minorHAnsi"/>
        </w:rPr>
      </w:pPr>
      <w:r w:rsidRPr="000B35E1">
        <w:rPr>
          <w:rFonts w:asciiTheme="minorHAnsi" w:hAnsiTheme="minorHAnsi"/>
        </w:rPr>
        <w:t>3. Detailed Requirements</w:t>
      </w:r>
    </w:p>
    <w:p w14:paraId="4B89FAB2" w14:textId="77777777" w:rsidR="00301E3A" w:rsidRPr="000B35E1" w:rsidRDefault="00301E3A" w:rsidP="00301E3A">
      <w:pPr>
        <w:spacing w:line="240" w:lineRule="auto"/>
        <w:rPr>
          <w:b/>
          <w:bCs/>
        </w:rPr>
      </w:pPr>
    </w:p>
    <w:p w14:paraId="0BDF37AB" w14:textId="77777777" w:rsidR="00301E3A" w:rsidRPr="000B35E1" w:rsidRDefault="00000000" w:rsidP="00301E3A">
      <w:pPr>
        <w:spacing w:line="240" w:lineRule="auto"/>
        <w:rPr>
          <w:b/>
          <w:bCs/>
        </w:rPr>
      </w:pPr>
      <w:r w:rsidRPr="000B35E1">
        <w:rPr>
          <w:b/>
          <w:bCs/>
        </w:rPr>
        <w:t>3.1. AD5940 Sensing Electronics and Analog Front End (AFE)</w:t>
      </w:r>
      <w:r w:rsidRPr="000B35E1">
        <w:br/>
      </w:r>
    </w:p>
    <w:p w14:paraId="6B83D8AA" w14:textId="076369D1" w:rsidR="002A0B11" w:rsidRPr="000B35E1" w:rsidRDefault="00000000" w:rsidP="00301E3A">
      <w:pPr>
        <w:spacing w:line="240" w:lineRule="auto"/>
      </w:pPr>
      <w:r w:rsidRPr="000B35E1">
        <w:rPr>
          <w:b/>
          <w:bCs/>
        </w:rPr>
        <w:t>Objective:</w:t>
      </w:r>
      <w:r w:rsidRPr="000B35E1">
        <w:t xml:space="preserve"> Enhance the precision and noise performance of the analog sensing chain to meet or exceed the performance benchmarks (e.g., those seen in </w:t>
      </w:r>
      <w:proofErr w:type="spellStart"/>
      <w:r w:rsidRPr="000B35E1">
        <w:t>Palmsense</w:t>
      </w:r>
      <w:proofErr w:type="spellEnd"/>
      <w:r w:rsidRPr="000B35E1">
        <w:t xml:space="preserve"> hardware).</w:t>
      </w:r>
    </w:p>
    <w:p w14:paraId="3C1BE047" w14:textId="77777777" w:rsidR="002A0B11" w:rsidRPr="000B35E1" w:rsidRDefault="00000000">
      <w:pPr>
        <w:pStyle w:val="Heading2"/>
        <w:rPr>
          <w:rFonts w:asciiTheme="minorHAnsi" w:hAnsiTheme="minorHAnsi"/>
        </w:rPr>
      </w:pPr>
      <w:r w:rsidRPr="000B35E1">
        <w:rPr>
          <w:rFonts w:asciiTheme="minorHAnsi" w:hAnsiTheme="minorHAnsi"/>
        </w:rPr>
        <w:t>Key Requirements:</w:t>
      </w:r>
    </w:p>
    <w:p w14:paraId="7A54D2BE" w14:textId="1F490364" w:rsidR="00B2569D" w:rsidRDefault="00B2569D" w:rsidP="00301E3A">
      <w:pPr>
        <w:pStyle w:val="ListParagraph"/>
        <w:numPr>
          <w:ilvl w:val="0"/>
          <w:numId w:val="12"/>
        </w:numPr>
      </w:pPr>
      <w:r>
        <w:t>Testability and Debugging</w:t>
      </w:r>
    </w:p>
    <w:p w14:paraId="477EDED3" w14:textId="693711D4" w:rsidR="00B2569D" w:rsidRDefault="00B2569D" w:rsidP="00B2569D">
      <w:pPr>
        <w:pStyle w:val="ListParagraph"/>
        <w:numPr>
          <w:ilvl w:val="1"/>
          <w:numId w:val="12"/>
        </w:numPr>
      </w:pPr>
      <w:r w:rsidRPr="000B35E1">
        <w:t>Provide sufficient test points on the PCB for in-circuit verification and debugging.</w:t>
      </w:r>
    </w:p>
    <w:p w14:paraId="12341EEC" w14:textId="2BDA8CB5" w:rsidR="00301E3A" w:rsidRPr="000B35E1" w:rsidRDefault="00000000" w:rsidP="00301E3A">
      <w:pPr>
        <w:pStyle w:val="ListParagraph"/>
        <w:numPr>
          <w:ilvl w:val="0"/>
          <w:numId w:val="12"/>
        </w:numPr>
      </w:pPr>
      <w:r w:rsidRPr="000B35E1">
        <w:t>Signal Integrity &amp; Conditioning:</w:t>
      </w:r>
    </w:p>
    <w:p w14:paraId="59D80F96" w14:textId="3AB45D77" w:rsidR="00301E3A" w:rsidRPr="000B35E1" w:rsidRDefault="00000000" w:rsidP="00301E3A">
      <w:pPr>
        <w:pStyle w:val="ListParagraph"/>
        <w:numPr>
          <w:ilvl w:val="1"/>
          <w:numId w:val="12"/>
        </w:numPr>
      </w:pPr>
      <w:r w:rsidRPr="000B35E1">
        <w:t xml:space="preserve">Implement </w:t>
      </w:r>
      <w:proofErr w:type="gramStart"/>
      <w:r w:rsidRPr="000B35E1">
        <w:t>low-pass</w:t>
      </w:r>
      <w:proofErr w:type="gramEnd"/>
      <w:r w:rsidRPr="000B35E1">
        <w:t xml:space="preserve"> filtering and shielding </w:t>
      </w:r>
      <w:r w:rsidR="00B2569D">
        <w:t xml:space="preserve">where necessary </w:t>
      </w:r>
      <w:r w:rsidRPr="000B35E1">
        <w:t>to minimize noise.</w:t>
      </w:r>
    </w:p>
    <w:p w14:paraId="571E7C80" w14:textId="1065C0CF" w:rsidR="00301E3A" w:rsidRPr="000B35E1" w:rsidRDefault="00000000" w:rsidP="00301E3A">
      <w:pPr>
        <w:pStyle w:val="ListParagraph"/>
        <w:numPr>
          <w:ilvl w:val="1"/>
          <w:numId w:val="12"/>
        </w:numPr>
      </w:pPr>
      <w:r w:rsidRPr="000B35E1">
        <w:t xml:space="preserve">Use an ultra‑low-noise, high‑stability voltage reference (e.g., ADR4520) </w:t>
      </w:r>
      <w:r w:rsidR="00B2569D">
        <w:t xml:space="preserve">for analog references </w:t>
      </w:r>
      <w:r w:rsidRPr="000B35E1">
        <w:t>to maintain baseline stability.</w:t>
      </w:r>
    </w:p>
    <w:p w14:paraId="234BBF67" w14:textId="62A86F4E" w:rsidR="00301E3A" w:rsidRPr="000B35E1" w:rsidRDefault="00000000" w:rsidP="00301E3A">
      <w:pPr>
        <w:pStyle w:val="ListParagraph"/>
        <w:numPr>
          <w:ilvl w:val="1"/>
          <w:numId w:val="12"/>
        </w:numPr>
      </w:pPr>
      <w:r w:rsidRPr="000B35E1">
        <w:t>Consider external precision ADC options (e.g., AD7768) if the internal ADC performance of the AD5940 is insufficient.</w:t>
      </w:r>
    </w:p>
    <w:p w14:paraId="4A88CF2D" w14:textId="77777777" w:rsidR="00301E3A" w:rsidRPr="000B35E1" w:rsidRDefault="00000000" w:rsidP="00301E3A">
      <w:pPr>
        <w:pStyle w:val="ListParagraph"/>
        <w:numPr>
          <w:ilvl w:val="0"/>
          <w:numId w:val="12"/>
        </w:numPr>
      </w:pPr>
      <w:r w:rsidRPr="000B35E1">
        <w:t>Bias and Excitation:</w:t>
      </w:r>
    </w:p>
    <w:p w14:paraId="3DD0BEE6" w14:textId="77777777" w:rsidR="00301E3A" w:rsidRPr="000B35E1" w:rsidRDefault="00000000" w:rsidP="00301E3A">
      <w:pPr>
        <w:pStyle w:val="ListParagraph"/>
        <w:numPr>
          <w:ilvl w:val="1"/>
          <w:numId w:val="12"/>
        </w:numPr>
      </w:pPr>
      <w:r w:rsidRPr="000B35E1">
        <w:t>Optimize electrode biasing with fine-tuning options.</w:t>
      </w:r>
    </w:p>
    <w:p w14:paraId="5A176983" w14:textId="77777777" w:rsidR="00301E3A" w:rsidRPr="000B35E1" w:rsidRDefault="00000000" w:rsidP="00301E3A">
      <w:pPr>
        <w:pStyle w:val="ListParagraph"/>
        <w:numPr>
          <w:ilvl w:val="1"/>
          <w:numId w:val="12"/>
        </w:numPr>
      </w:pPr>
      <w:r w:rsidRPr="000B35E1">
        <w:t>Evaluate the use of a dedicated sine wave generator (such as an external DDS like AD9833) to improve the excitation signal for EIS measurements.</w:t>
      </w:r>
    </w:p>
    <w:p w14:paraId="2B78C7D2" w14:textId="77777777" w:rsidR="00301E3A" w:rsidRPr="000B35E1" w:rsidRDefault="00000000" w:rsidP="00301E3A">
      <w:pPr>
        <w:pStyle w:val="ListParagraph"/>
        <w:numPr>
          <w:ilvl w:val="0"/>
          <w:numId w:val="12"/>
        </w:numPr>
      </w:pPr>
      <w:r w:rsidRPr="000B35E1">
        <w:t>Layout &amp; Power:</w:t>
      </w:r>
    </w:p>
    <w:p w14:paraId="1C5DD194" w14:textId="77777777" w:rsidR="00301E3A" w:rsidRPr="000B35E1" w:rsidRDefault="00000000" w:rsidP="00301E3A">
      <w:pPr>
        <w:pStyle w:val="ListParagraph"/>
        <w:numPr>
          <w:ilvl w:val="1"/>
          <w:numId w:val="12"/>
        </w:numPr>
      </w:pPr>
      <w:r w:rsidRPr="000B35E1">
        <w:t>Use multi‑layer PCB design with dedicated ground planes for the analog section.</w:t>
      </w:r>
    </w:p>
    <w:p w14:paraId="17C560C1" w14:textId="508C51CB" w:rsidR="00301E3A" w:rsidRPr="000B35E1" w:rsidRDefault="00B2569D" w:rsidP="00301E3A">
      <w:pPr>
        <w:pStyle w:val="ListParagraph"/>
        <w:numPr>
          <w:ilvl w:val="1"/>
          <w:numId w:val="12"/>
        </w:numPr>
      </w:pPr>
      <w:r>
        <w:t>S</w:t>
      </w:r>
      <w:r w:rsidR="00000000" w:rsidRPr="000B35E1">
        <w:t>eparate analog and digital sections to reduce interference.</w:t>
      </w:r>
    </w:p>
    <w:p w14:paraId="7837042A" w14:textId="3DF3BE4F" w:rsidR="00301E3A" w:rsidRPr="000B35E1" w:rsidRDefault="00000000" w:rsidP="00301E3A">
      <w:pPr>
        <w:pStyle w:val="ListParagraph"/>
        <w:numPr>
          <w:ilvl w:val="1"/>
          <w:numId w:val="12"/>
        </w:numPr>
      </w:pPr>
      <w:r w:rsidRPr="000B35E1">
        <w:lastRenderedPageBreak/>
        <w:t>Prefer low‑noise LDO regulators or isolated DC/DC converters for powering the analog front end.</w:t>
      </w:r>
    </w:p>
    <w:p w14:paraId="7C5DE5D3" w14:textId="77777777" w:rsidR="00301E3A" w:rsidRPr="000B35E1" w:rsidRDefault="00000000" w:rsidP="00301E3A">
      <w:pPr>
        <w:pStyle w:val="ListParagraph"/>
        <w:numPr>
          <w:ilvl w:val="0"/>
          <w:numId w:val="12"/>
        </w:numPr>
      </w:pPr>
      <w:r w:rsidRPr="000B35E1">
        <w:t>Isolation:</w:t>
      </w:r>
    </w:p>
    <w:p w14:paraId="1477DAA3" w14:textId="39309DC5" w:rsidR="002A0B11" w:rsidRPr="000B35E1" w:rsidRDefault="00000000" w:rsidP="00301E3A">
      <w:pPr>
        <w:pStyle w:val="ListParagraph"/>
        <w:numPr>
          <w:ilvl w:val="1"/>
          <w:numId w:val="12"/>
        </w:numPr>
      </w:pPr>
      <w:r w:rsidRPr="000B35E1">
        <w:t>Implement isolation techniques (digital isolators, optocouplers) to prevent ground loops and noise coupling from digital circuits</w:t>
      </w:r>
      <w:r w:rsidR="007419B9">
        <w:t xml:space="preserve"> into the analog section</w:t>
      </w:r>
      <w:r w:rsidRPr="000B35E1">
        <w:t>.</w:t>
      </w:r>
    </w:p>
    <w:p w14:paraId="3C8FB305" w14:textId="0936787A" w:rsidR="00301E3A" w:rsidRPr="000B35E1" w:rsidRDefault="00301E3A">
      <w:pPr>
        <w:rPr>
          <w:rFonts w:eastAsiaTheme="majorEastAsia" w:cstheme="majorBidi"/>
          <w:b/>
          <w:bCs/>
          <w:color w:val="4F81BD" w:themeColor="accent1"/>
          <w:sz w:val="26"/>
          <w:szCs w:val="26"/>
        </w:rPr>
      </w:pPr>
    </w:p>
    <w:p w14:paraId="550B66B2" w14:textId="05F25411" w:rsidR="002A0B11" w:rsidRPr="000B35E1" w:rsidRDefault="00000000">
      <w:pPr>
        <w:pStyle w:val="Heading2"/>
        <w:rPr>
          <w:rFonts w:asciiTheme="minorHAnsi" w:hAnsiTheme="minorHAnsi"/>
        </w:rPr>
      </w:pPr>
      <w:r w:rsidRPr="000B35E1">
        <w:rPr>
          <w:rFonts w:asciiTheme="minorHAnsi" w:hAnsiTheme="minorHAnsi"/>
        </w:rPr>
        <w:t>3.2. Heater Control Circuit</w:t>
      </w:r>
    </w:p>
    <w:p w14:paraId="316F9F72" w14:textId="77777777" w:rsidR="002A0B11" w:rsidRPr="000B35E1" w:rsidRDefault="00000000">
      <w:r w:rsidRPr="000B35E1">
        <w:t>This is a critical subsystem requiring a high‑precision design with robust isolation. The following requirements must be met:</w:t>
      </w:r>
    </w:p>
    <w:p w14:paraId="224497A8" w14:textId="77777777" w:rsidR="002A0B11" w:rsidRPr="000B35E1" w:rsidRDefault="00000000">
      <w:pPr>
        <w:pStyle w:val="Heading2"/>
        <w:rPr>
          <w:rFonts w:asciiTheme="minorHAnsi" w:hAnsiTheme="minorHAnsi"/>
        </w:rPr>
      </w:pPr>
      <w:r w:rsidRPr="000B35E1">
        <w:rPr>
          <w:rFonts w:asciiTheme="minorHAnsi" w:hAnsiTheme="minorHAnsi"/>
        </w:rPr>
        <w:t>3.2.1. Functionality</w:t>
      </w:r>
    </w:p>
    <w:p w14:paraId="5B215E2A" w14:textId="77777777" w:rsidR="00301E3A" w:rsidRPr="000B35E1" w:rsidRDefault="00000000" w:rsidP="00301E3A">
      <w:pPr>
        <w:pStyle w:val="ListParagraph"/>
        <w:numPr>
          <w:ilvl w:val="0"/>
          <w:numId w:val="13"/>
        </w:numPr>
      </w:pPr>
      <w:r w:rsidRPr="000B35E1">
        <w:t>Drive Modes:</w:t>
      </w:r>
    </w:p>
    <w:p w14:paraId="4F7315D1" w14:textId="77777777" w:rsidR="00301E3A" w:rsidRPr="000B35E1" w:rsidRDefault="00000000" w:rsidP="00301E3A">
      <w:pPr>
        <w:pStyle w:val="ListParagraph"/>
        <w:numPr>
          <w:ilvl w:val="1"/>
          <w:numId w:val="13"/>
        </w:numPr>
      </w:pPr>
      <w:r w:rsidRPr="000B35E1">
        <w:t>Support both constant current (CC) and constant voltage (CV) drive modes.</w:t>
      </w:r>
    </w:p>
    <w:p w14:paraId="68BEC067" w14:textId="77777777" w:rsidR="00301E3A" w:rsidRPr="000B35E1" w:rsidRDefault="00000000" w:rsidP="00301E3A">
      <w:pPr>
        <w:pStyle w:val="ListParagraph"/>
        <w:numPr>
          <w:ilvl w:val="0"/>
          <w:numId w:val="13"/>
        </w:numPr>
      </w:pPr>
      <w:r w:rsidRPr="000B35E1">
        <w:t>Heater Resistance Range:</w:t>
      </w:r>
    </w:p>
    <w:p w14:paraId="7730C59C" w14:textId="77777777" w:rsidR="00301E3A" w:rsidRPr="000B35E1" w:rsidRDefault="00000000" w:rsidP="00301E3A">
      <w:pPr>
        <w:pStyle w:val="ListParagraph"/>
        <w:numPr>
          <w:ilvl w:val="1"/>
          <w:numId w:val="13"/>
        </w:numPr>
      </w:pPr>
      <w:r w:rsidRPr="000B35E1">
        <w:t>Operate with heater resistances from 0.2 Ω to 10 Ω (and potentially higher).</w:t>
      </w:r>
    </w:p>
    <w:p w14:paraId="498AA471" w14:textId="77777777" w:rsidR="00301E3A" w:rsidRPr="000B35E1" w:rsidRDefault="00000000" w:rsidP="00301E3A">
      <w:pPr>
        <w:pStyle w:val="ListParagraph"/>
        <w:numPr>
          <w:ilvl w:val="0"/>
          <w:numId w:val="13"/>
        </w:numPr>
      </w:pPr>
      <w:r w:rsidRPr="000B35E1">
        <w:t>Precision:</w:t>
      </w:r>
    </w:p>
    <w:p w14:paraId="3C7AC732" w14:textId="69CBC67D" w:rsidR="002A0B11" w:rsidRPr="000B35E1" w:rsidRDefault="00000000" w:rsidP="00301E3A">
      <w:pPr>
        <w:pStyle w:val="ListParagraph"/>
        <w:numPr>
          <w:ilvl w:val="1"/>
          <w:numId w:val="13"/>
        </w:numPr>
      </w:pPr>
      <w:r w:rsidRPr="000B35E1">
        <w:t>Provide high resolution and fine control over current and voltage to ensure accurate heater operation.</w:t>
      </w:r>
    </w:p>
    <w:p w14:paraId="4D38A7B9" w14:textId="77777777" w:rsidR="002A0B11" w:rsidRPr="000B35E1" w:rsidRDefault="00000000">
      <w:pPr>
        <w:pStyle w:val="Heading2"/>
        <w:rPr>
          <w:rFonts w:asciiTheme="minorHAnsi" w:hAnsiTheme="minorHAnsi"/>
        </w:rPr>
      </w:pPr>
      <w:r w:rsidRPr="000B35E1">
        <w:rPr>
          <w:rFonts w:asciiTheme="minorHAnsi" w:hAnsiTheme="minorHAnsi"/>
        </w:rPr>
        <w:t>3.2.2. Sensing and Feedback</w:t>
      </w:r>
    </w:p>
    <w:p w14:paraId="4574A59C" w14:textId="77777777" w:rsidR="00301E3A" w:rsidRPr="000B35E1" w:rsidRDefault="00000000" w:rsidP="00301E3A">
      <w:pPr>
        <w:pStyle w:val="ListParagraph"/>
        <w:numPr>
          <w:ilvl w:val="0"/>
          <w:numId w:val="14"/>
        </w:numPr>
      </w:pPr>
      <w:r w:rsidRPr="000B35E1">
        <w:t>Voltage Sensing:</w:t>
      </w:r>
    </w:p>
    <w:p w14:paraId="5BE18D9A" w14:textId="0C3730EE" w:rsidR="00301E3A" w:rsidRPr="000B35E1" w:rsidRDefault="00000000" w:rsidP="00301E3A">
      <w:pPr>
        <w:pStyle w:val="ListParagraph"/>
        <w:numPr>
          <w:ilvl w:val="1"/>
          <w:numId w:val="14"/>
        </w:numPr>
      </w:pPr>
      <w:r w:rsidRPr="000B35E1">
        <w:t xml:space="preserve">Incorporate </w:t>
      </w:r>
      <w:r w:rsidR="008615E5">
        <w:t xml:space="preserve">a </w:t>
      </w:r>
      <w:r w:rsidRPr="000B35E1">
        <w:t>precise voltage measurement at the heater terminals.</w:t>
      </w:r>
    </w:p>
    <w:p w14:paraId="6583E19A" w14:textId="77777777" w:rsidR="00301E3A" w:rsidRPr="000B35E1" w:rsidRDefault="00000000" w:rsidP="00301E3A">
      <w:pPr>
        <w:pStyle w:val="ListParagraph"/>
        <w:numPr>
          <w:ilvl w:val="0"/>
          <w:numId w:val="14"/>
        </w:numPr>
      </w:pPr>
      <w:r w:rsidRPr="000B35E1">
        <w:t>Current Sensing:</w:t>
      </w:r>
    </w:p>
    <w:p w14:paraId="3EB7BE0B" w14:textId="77777777" w:rsidR="00301E3A" w:rsidRPr="000B35E1" w:rsidRDefault="00000000" w:rsidP="00301E3A">
      <w:pPr>
        <w:pStyle w:val="ListParagraph"/>
        <w:numPr>
          <w:ilvl w:val="1"/>
          <w:numId w:val="14"/>
        </w:numPr>
      </w:pPr>
      <w:r w:rsidRPr="000B35E1">
        <w:t>Use a high-precision current sense amplifier (either low‑side or high‑side) for accurate current measurement.</w:t>
      </w:r>
    </w:p>
    <w:p w14:paraId="421F4279" w14:textId="77777777" w:rsidR="00301E3A" w:rsidRPr="000B35E1" w:rsidRDefault="00000000" w:rsidP="00301E3A">
      <w:pPr>
        <w:pStyle w:val="ListParagraph"/>
        <w:numPr>
          <w:ilvl w:val="0"/>
          <w:numId w:val="14"/>
        </w:numPr>
      </w:pPr>
      <w:r w:rsidRPr="000B35E1">
        <w:t>Feedback Loop:</w:t>
      </w:r>
    </w:p>
    <w:p w14:paraId="118746E4" w14:textId="076829FB" w:rsidR="002A0B11" w:rsidRPr="000B35E1" w:rsidRDefault="00000000" w:rsidP="00301E3A">
      <w:pPr>
        <w:pStyle w:val="ListParagraph"/>
        <w:numPr>
          <w:ilvl w:val="1"/>
          <w:numId w:val="14"/>
        </w:numPr>
      </w:pPr>
      <w:r w:rsidRPr="000B35E1">
        <w:t>Feed the sensed voltage and current data back to the NXP i.MX RT1176 MCU via an isolated interface.</w:t>
      </w:r>
    </w:p>
    <w:p w14:paraId="0DB754C6" w14:textId="77777777" w:rsidR="002A0B11" w:rsidRPr="000B35E1" w:rsidRDefault="00000000">
      <w:pPr>
        <w:pStyle w:val="Heading2"/>
        <w:rPr>
          <w:rFonts w:asciiTheme="minorHAnsi" w:hAnsiTheme="minorHAnsi"/>
        </w:rPr>
      </w:pPr>
      <w:r w:rsidRPr="000B35E1">
        <w:rPr>
          <w:rFonts w:asciiTheme="minorHAnsi" w:hAnsiTheme="minorHAnsi"/>
        </w:rPr>
        <w:t>3.2.3. Isolation</w:t>
      </w:r>
    </w:p>
    <w:p w14:paraId="3F6BD527" w14:textId="77777777" w:rsidR="00301E3A" w:rsidRPr="000B35E1" w:rsidRDefault="00000000" w:rsidP="00301E3A">
      <w:pPr>
        <w:pStyle w:val="ListParagraph"/>
        <w:numPr>
          <w:ilvl w:val="0"/>
          <w:numId w:val="15"/>
        </w:numPr>
      </w:pPr>
      <w:r w:rsidRPr="000B35E1">
        <w:t>Electrical Isolation:</w:t>
      </w:r>
    </w:p>
    <w:p w14:paraId="70892372" w14:textId="77777777" w:rsidR="00301E3A" w:rsidRPr="000B35E1" w:rsidRDefault="00000000" w:rsidP="00301E3A">
      <w:pPr>
        <w:pStyle w:val="ListParagraph"/>
        <w:numPr>
          <w:ilvl w:val="1"/>
          <w:numId w:val="15"/>
        </w:numPr>
      </w:pPr>
      <w:r w:rsidRPr="000B35E1">
        <w:t>Fully isolate the heater control circuit from the rest of the system.</w:t>
      </w:r>
    </w:p>
    <w:p w14:paraId="04D35F1E" w14:textId="0310B945" w:rsidR="00301E3A" w:rsidRPr="000B35E1" w:rsidRDefault="00000000" w:rsidP="00301E3A">
      <w:pPr>
        <w:pStyle w:val="ListParagraph"/>
        <w:numPr>
          <w:ilvl w:val="1"/>
          <w:numId w:val="15"/>
        </w:numPr>
      </w:pPr>
      <w:r w:rsidRPr="000B35E1">
        <w:t>Use optocouplers or digital isolators for data communication</w:t>
      </w:r>
      <w:r w:rsidR="007B35B5">
        <w:t xml:space="preserve"> where applicable (such as from the ADC back to the NXP processor)</w:t>
      </w:r>
      <w:r w:rsidRPr="000B35E1">
        <w:t>.</w:t>
      </w:r>
    </w:p>
    <w:p w14:paraId="4CBDD5DE" w14:textId="188F31D9" w:rsidR="00301E3A" w:rsidRPr="000B35E1" w:rsidRDefault="00000000" w:rsidP="00301E3A">
      <w:pPr>
        <w:pStyle w:val="ListParagraph"/>
        <w:numPr>
          <w:ilvl w:val="1"/>
          <w:numId w:val="15"/>
        </w:numPr>
      </w:pPr>
      <w:r w:rsidRPr="000B35E1">
        <w:t>Deploy isolated DC/DC converters to maintain separate power domains</w:t>
      </w:r>
      <w:r w:rsidR="007B35B5">
        <w:t xml:space="preserve"> where applicable</w:t>
      </w:r>
      <w:r w:rsidRPr="000B35E1">
        <w:t>.</w:t>
      </w:r>
    </w:p>
    <w:p w14:paraId="749BC513" w14:textId="77777777" w:rsidR="00301E3A" w:rsidRPr="000B35E1" w:rsidRDefault="00301E3A" w:rsidP="00301E3A">
      <w:pPr>
        <w:pStyle w:val="ListParagraph"/>
        <w:numPr>
          <w:ilvl w:val="0"/>
          <w:numId w:val="15"/>
        </w:numPr>
      </w:pPr>
      <w:r w:rsidRPr="000B35E1">
        <w:t>Feedback Isolation:</w:t>
      </w:r>
    </w:p>
    <w:p w14:paraId="21B0A245" w14:textId="2750EF25" w:rsidR="00301E3A" w:rsidRPr="000B35E1" w:rsidRDefault="00301E3A" w:rsidP="00301E3A">
      <w:pPr>
        <w:pStyle w:val="ListParagraph"/>
        <w:numPr>
          <w:ilvl w:val="1"/>
          <w:numId w:val="15"/>
        </w:numPr>
      </w:pPr>
      <w:r w:rsidRPr="000B35E1">
        <w:t>Isolate the sensing signals (voltage and current) using appropriate isolation ICs to prevent noise or ground loop issues.</w:t>
      </w:r>
    </w:p>
    <w:p w14:paraId="0F5BC9C4" w14:textId="77777777" w:rsidR="002A0B11" w:rsidRPr="000B35E1" w:rsidRDefault="00000000">
      <w:pPr>
        <w:pStyle w:val="Heading2"/>
        <w:rPr>
          <w:rFonts w:asciiTheme="minorHAnsi" w:hAnsiTheme="minorHAnsi"/>
        </w:rPr>
      </w:pPr>
      <w:r w:rsidRPr="000B35E1">
        <w:rPr>
          <w:rFonts w:asciiTheme="minorHAnsi" w:hAnsiTheme="minorHAnsi"/>
        </w:rPr>
        <w:t>3.2.4. Power Supply</w:t>
      </w:r>
    </w:p>
    <w:p w14:paraId="461B8A38" w14:textId="77777777" w:rsidR="00301E3A" w:rsidRPr="000B35E1" w:rsidRDefault="00000000" w:rsidP="00301E3A">
      <w:pPr>
        <w:pStyle w:val="ListParagraph"/>
        <w:numPr>
          <w:ilvl w:val="0"/>
          <w:numId w:val="15"/>
        </w:numPr>
      </w:pPr>
      <w:r w:rsidRPr="000B35E1">
        <w:t>Heater Supply Requirements:</w:t>
      </w:r>
    </w:p>
    <w:p w14:paraId="6A61CCFA" w14:textId="77777777" w:rsidR="00301E3A" w:rsidRPr="000B35E1" w:rsidRDefault="00000000" w:rsidP="00301E3A">
      <w:pPr>
        <w:pStyle w:val="ListParagraph"/>
        <w:numPr>
          <w:ilvl w:val="1"/>
          <w:numId w:val="15"/>
        </w:numPr>
      </w:pPr>
      <w:r w:rsidRPr="000B35E1">
        <w:lastRenderedPageBreak/>
        <w:t>Design a power supply capable of handling a wide range of voltage requirements.</w:t>
      </w:r>
    </w:p>
    <w:p w14:paraId="5BF8B7EE" w14:textId="77777777" w:rsidR="00301E3A" w:rsidRPr="000B35E1" w:rsidRDefault="00000000" w:rsidP="00301E3A">
      <w:pPr>
        <w:pStyle w:val="ListParagraph"/>
        <w:numPr>
          <w:ilvl w:val="1"/>
          <w:numId w:val="15"/>
        </w:numPr>
      </w:pPr>
      <w:r w:rsidRPr="000B35E1">
        <w:t>Consider the use of programmable DC/DC converters or precision linear regulators.</w:t>
      </w:r>
    </w:p>
    <w:p w14:paraId="4D63C62F" w14:textId="77777777" w:rsidR="00301E3A" w:rsidRPr="000B35E1" w:rsidRDefault="00301E3A" w:rsidP="00301E3A">
      <w:pPr>
        <w:pStyle w:val="ListParagraph"/>
        <w:numPr>
          <w:ilvl w:val="0"/>
          <w:numId w:val="15"/>
        </w:numPr>
      </w:pPr>
      <w:r w:rsidRPr="000B35E1">
        <w:rPr>
          <w:rFonts w:eastAsia="Times New Roman" w:cs="Times New Roman"/>
          <w:sz w:val="24"/>
          <w:szCs w:val="24"/>
        </w:rPr>
        <w:t>Driver Capability:</w:t>
      </w:r>
    </w:p>
    <w:p w14:paraId="1BC013F6" w14:textId="33A03FB1" w:rsidR="00301E3A" w:rsidRPr="000B35E1" w:rsidRDefault="00301E3A" w:rsidP="000B35E1">
      <w:pPr>
        <w:pStyle w:val="ListParagraph"/>
        <w:numPr>
          <w:ilvl w:val="1"/>
          <w:numId w:val="15"/>
        </w:numPr>
      </w:pPr>
      <w:r w:rsidRPr="000B35E1">
        <w:rPr>
          <w:rFonts w:eastAsia="Times New Roman" w:cs="Times New Roman"/>
          <w:sz w:val="24"/>
          <w:szCs w:val="24"/>
        </w:rPr>
        <w:t>Ensure the heater driver is robust enough to handle both low-resistance (high-current) and high-resistance (low-current) scenarios safely.</w:t>
      </w:r>
    </w:p>
    <w:p w14:paraId="006C0D14" w14:textId="66F33834" w:rsidR="002A0B11" w:rsidRPr="000B35E1" w:rsidRDefault="00000000">
      <w:pPr>
        <w:pStyle w:val="Heading2"/>
        <w:rPr>
          <w:rFonts w:asciiTheme="minorHAnsi" w:hAnsiTheme="minorHAnsi"/>
        </w:rPr>
      </w:pPr>
      <w:r w:rsidRPr="000B35E1">
        <w:rPr>
          <w:rFonts w:asciiTheme="minorHAnsi" w:hAnsiTheme="minorHAnsi"/>
        </w:rPr>
        <w:t>3.2.5. Protection</w:t>
      </w:r>
    </w:p>
    <w:p w14:paraId="49B6D410" w14:textId="77777777" w:rsidR="00301E3A" w:rsidRPr="000B35E1" w:rsidRDefault="00000000" w:rsidP="00301E3A">
      <w:pPr>
        <w:pStyle w:val="ListParagraph"/>
        <w:numPr>
          <w:ilvl w:val="0"/>
          <w:numId w:val="15"/>
        </w:numPr>
      </w:pPr>
      <w:r w:rsidRPr="000B35E1">
        <w:t>Overcurrent/Overvoltage:</w:t>
      </w:r>
    </w:p>
    <w:p w14:paraId="6F2FD042" w14:textId="77777777" w:rsidR="00301E3A" w:rsidRPr="000B35E1" w:rsidRDefault="00000000" w:rsidP="00301E3A">
      <w:pPr>
        <w:pStyle w:val="ListParagraph"/>
        <w:numPr>
          <w:ilvl w:val="1"/>
          <w:numId w:val="15"/>
        </w:numPr>
      </w:pPr>
      <w:r w:rsidRPr="000B35E1">
        <w:t xml:space="preserve">Include protection circuits to guard against potential heater faults, such as short circuits or excessive current </w:t>
      </w:r>
      <w:proofErr w:type="gramStart"/>
      <w:r w:rsidRPr="000B35E1">
        <w:t>draw</w:t>
      </w:r>
      <w:proofErr w:type="gramEnd"/>
      <w:r w:rsidRPr="000B35E1">
        <w:t>.</w:t>
      </w:r>
    </w:p>
    <w:p w14:paraId="368E79DD" w14:textId="77777777" w:rsidR="00301E3A" w:rsidRPr="000B35E1" w:rsidRDefault="00301E3A" w:rsidP="00301E3A">
      <w:pPr>
        <w:pStyle w:val="ListParagraph"/>
        <w:numPr>
          <w:ilvl w:val="0"/>
          <w:numId w:val="15"/>
        </w:numPr>
      </w:pPr>
      <w:r w:rsidRPr="000B35E1">
        <w:rPr>
          <w:rFonts w:eastAsia="Times New Roman" w:cs="Times New Roman"/>
          <w:sz w:val="24"/>
          <w:szCs w:val="24"/>
        </w:rPr>
        <w:t>Thermal Monitoring:</w:t>
      </w:r>
    </w:p>
    <w:p w14:paraId="0C9ECC67" w14:textId="77777777" w:rsidR="000B35E1" w:rsidRPr="000B35E1" w:rsidRDefault="00301E3A" w:rsidP="000B35E1">
      <w:pPr>
        <w:pStyle w:val="ListParagraph"/>
        <w:numPr>
          <w:ilvl w:val="1"/>
          <w:numId w:val="15"/>
        </w:numPr>
      </w:pPr>
      <w:r w:rsidRPr="000B35E1">
        <w:rPr>
          <w:rFonts w:eastAsia="Times New Roman" w:cs="Times New Roman"/>
          <w:sz w:val="24"/>
          <w:szCs w:val="24"/>
        </w:rPr>
        <w:t>Optionally integrate temperature sensors to monitor the heater temperature for additional safety.</w:t>
      </w:r>
    </w:p>
    <w:p w14:paraId="593EC228" w14:textId="77777777" w:rsidR="000B35E1" w:rsidRPr="000B35E1" w:rsidRDefault="000B35E1" w:rsidP="000B35E1">
      <w:pPr>
        <w:rPr>
          <w:b/>
          <w:bCs/>
          <w:color w:val="4F81BD" w:themeColor="accent1"/>
        </w:rPr>
      </w:pPr>
      <w:r w:rsidRPr="000B35E1">
        <w:rPr>
          <w:b/>
          <w:bCs/>
          <w:color w:val="4F81BD" w:themeColor="accent1"/>
        </w:rPr>
        <w:t>3.2.6. Control and Communication</w:t>
      </w:r>
    </w:p>
    <w:p w14:paraId="57AB5464" w14:textId="77777777" w:rsidR="000B35E1" w:rsidRPr="000B35E1" w:rsidRDefault="000B35E1" w:rsidP="000B35E1">
      <w:pPr>
        <w:pStyle w:val="ListParagraph"/>
        <w:numPr>
          <w:ilvl w:val="0"/>
          <w:numId w:val="19"/>
        </w:numPr>
      </w:pPr>
      <w:r w:rsidRPr="000B35E1">
        <w:rPr>
          <w:b/>
          <w:bCs/>
        </w:rPr>
        <w:t>Digital Interface:</w:t>
      </w:r>
    </w:p>
    <w:p w14:paraId="62D174B1" w14:textId="10017EB2" w:rsidR="000B35E1" w:rsidRPr="000B35E1" w:rsidRDefault="000B35E1" w:rsidP="000B35E1">
      <w:pPr>
        <w:pStyle w:val="ListParagraph"/>
        <w:numPr>
          <w:ilvl w:val="1"/>
          <w:numId w:val="19"/>
        </w:numPr>
      </w:pPr>
      <w:r w:rsidRPr="000B35E1">
        <w:t xml:space="preserve">Provide a digital communication interface (I²C, SPI, or UART) for the MCU to control and monitor the </w:t>
      </w:r>
      <w:r w:rsidR="00C06B0C">
        <w:t xml:space="preserve">driver for the </w:t>
      </w:r>
      <w:r w:rsidRPr="000B35E1">
        <w:t>heater circuit</w:t>
      </w:r>
      <w:r w:rsidR="00C06B0C">
        <w:t xml:space="preserve"> and any external sensing element (two-wire thermistor) for temperature sensing</w:t>
      </w:r>
      <w:r w:rsidRPr="000B35E1">
        <w:t>.</w:t>
      </w:r>
    </w:p>
    <w:p w14:paraId="18768784" w14:textId="77777777" w:rsidR="000B35E1" w:rsidRPr="000B35E1" w:rsidRDefault="000B35E1" w:rsidP="000B35E1">
      <w:pPr>
        <w:pStyle w:val="ListParagraph"/>
        <w:numPr>
          <w:ilvl w:val="0"/>
          <w:numId w:val="19"/>
        </w:numPr>
      </w:pPr>
      <w:r w:rsidRPr="000B35E1">
        <w:rPr>
          <w:b/>
          <w:bCs/>
        </w:rPr>
        <w:t>Isolated Data Lines:</w:t>
      </w:r>
    </w:p>
    <w:p w14:paraId="163984EF" w14:textId="77777777" w:rsidR="000B35E1" w:rsidRPr="000B35E1" w:rsidRDefault="000B35E1" w:rsidP="000B35E1">
      <w:pPr>
        <w:pStyle w:val="ListParagraph"/>
        <w:numPr>
          <w:ilvl w:val="1"/>
          <w:numId w:val="19"/>
        </w:numPr>
      </w:pPr>
      <w:r w:rsidRPr="000B35E1">
        <w:t>Ensure that communication lines to the MCU are isolated to eliminate noise and ground loop issues.</w:t>
      </w:r>
    </w:p>
    <w:p w14:paraId="37AD7E38" w14:textId="77777777" w:rsidR="000B35E1" w:rsidRPr="000B35E1" w:rsidRDefault="000B35E1" w:rsidP="000B35E1">
      <w:pPr>
        <w:rPr>
          <w:b/>
          <w:bCs/>
          <w:color w:val="4F81BD" w:themeColor="accent1"/>
        </w:rPr>
      </w:pPr>
      <w:r w:rsidRPr="000B35E1">
        <w:rPr>
          <w:b/>
          <w:bCs/>
          <w:color w:val="4F81BD" w:themeColor="accent1"/>
        </w:rPr>
        <w:t>3.2.7. PCB Layout Considerations</w:t>
      </w:r>
    </w:p>
    <w:p w14:paraId="15D0096E" w14:textId="77777777" w:rsidR="000B35E1" w:rsidRPr="000B35E1" w:rsidRDefault="000B35E1" w:rsidP="000B35E1">
      <w:pPr>
        <w:pStyle w:val="ListParagraph"/>
        <w:numPr>
          <w:ilvl w:val="0"/>
          <w:numId w:val="20"/>
        </w:numPr>
      </w:pPr>
      <w:r w:rsidRPr="000B35E1">
        <w:rPr>
          <w:b/>
          <w:bCs/>
        </w:rPr>
        <w:t>Noise Reduction:</w:t>
      </w:r>
    </w:p>
    <w:p w14:paraId="690687B1" w14:textId="77777777" w:rsidR="000B35E1" w:rsidRPr="000B35E1" w:rsidRDefault="000B35E1" w:rsidP="000B35E1">
      <w:pPr>
        <w:pStyle w:val="ListParagraph"/>
        <w:numPr>
          <w:ilvl w:val="1"/>
          <w:numId w:val="20"/>
        </w:numPr>
      </w:pPr>
      <w:r w:rsidRPr="000B35E1">
        <w:t>Optimize the layout to minimize noise and crosstalk.</w:t>
      </w:r>
    </w:p>
    <w:p w14:paraId="3A907D20" w14:textId="77777777" w:rsidR="000B35E1" w:rsidRPr="000B35E1" w:rsidRDefault="000B35E1" w:rsidP="000B35E1">
      <w:pPr>
        <w:pStyle w:val="ListParagraph"/>
        <w:numPr>
          <w:ilvl w:val="1"/>
          <w:numId w:val="20"/>
        </w:numPr>
      </w:pPr>
      <w:r w:rsidRPr="000B35E1">
        <w:t>Careful placement of current and voltage sensing components is critical to maintain measurement accuracy.</w:t>
      </w:r>
    </w:p>
    <w:p w14:paraId="541CF6B6" w14:textId="77777777" w:rsidR="000B35E1" w:rsidRPr="000B35E1" w:rsidRDefault="000B35E1" w:rsidP="000B35E1">
      <w:pPr>
        <w:pStyle w:val="ListParagraph"/>
        <w:numPr>
          <w:ilvl w:val="0"/>
          <w:numId w:val="20"/>
        </w:numPr>
      </w:pPr>
      <w:r w:rsidRPr="000B35E1">
        <w:rPr>
          <w:b/>
          <w:bCs/>
        </w:rPr>
        <w:t>Thermal Management:</w:t>
      </w:r>
    </w:p>
    <w:p w14:paraId="763185E5" w14:textId="77777777" w:rsidR="000B35E1" w:rsidRPr="000B35E1" w:rsidRDefault="000B35E1" w:rsidP="000B35E1">
      <w:pPr>
        <w:pStyle w:val="ListParagraph"/>
        <w:numPr>
          <w:ilvl w:val="1"/>
          <w:numId w:val="20"/>
        </w:numPr>
      </w:pPr>
      <w:r w:rsidRPr="000B35E1">
        <w:t>Consider the thermal impact of the heater control circuitry on adjacent sensitive components.</w:t>
      </w:r>
    </w:p>
    <w:p w14:paraId="64EAA3F7" w14:textId="77777777" w:rsidR="000B35E1" w:rsidRPr="000B35E1" w:rsidRDefault="000B35E1" w:rsidP="000B35E1">
      <w:pPr>
        <w:pStyle w:val="ListParagraph"/>
        <w:numPr>
          <w:ilvl w:val="1"/>
          <w:numId w:val="20"/>
        </w:numPr>
      </w:pPr>
      <w:r w:rsidRPr="000B35E1">
        <w:t>Use dedicated copper pours or thermal vias as necessary.</w:t>
      </w:r>
    </w:p>
    <w:p w14:paraId="18A12BA6" w14:textId="77777777" w:rsidR="000B35E1" w:rsidRPr="000B35E1" w:rsidRDefault="000B35E1" w:rsidP="000B35E1">
      <w:pPr>
        <w:rPr>
          <w:b/>
          <w:bCs/>
          <w:color w:val="4F81BD" w:themeColor="accent1"/>
        </w:rPr>
      </w:pPr>
      <w:r w:rsidRPr="000B35E1">
        <w:rPr>
          <w:b/>
          <w:bCs/>
          <w:color w:val="4F81BD" w:themeColor="accent1"/>
        </w:rPr>
        <w:t>3.2.8. Suggested Components</w:t>
      </w:r>
    </w:p>
    <w:p w14:paraId="7A144EE0" w14:textId="77777777" w:rsidR="000B35E1" w:rsidRPr="000B35E1" w:rsidRDefault="000B35E1" w:rsidP="000B35E1">
      <w:pPr>
        <w:pStyle w:val="ListParagraph"/>
        <w:numPr>
          <w:ilvl w:val="0"/>
          <w:numId w:val="21"/>
        </w:numPr>
      </w:pPr>
      <w:r w:rsidRPr="000B35E1">
        <w:rPr>
          <w:b/>
          <w:bCs/>
        </w:rPr>
        <w:t>Power Modules:</w:t>
      </w:r>
    </w:p>
    <w:p w14:paraId="7822E3D4" w14:textId="77777777" w:rsidR="000B35E1" w:rsidRPr="000B35E1" w:rsidRDefault="000B35E1" w:rsidP="000B35E1">
      <w:pPr>
        <w:pStyle w:val="ListParagraph"/>
        <w:numPr>
          <w:ilvl w:val="1"/>
          <w:numId w:val="21"/>
        </w:numPr>
      </w:pPr>
      <w:r w:rsidRPr="000B35E1">
        <w:t>Isolated DC/DC converter with tight regulation and adequate power handling.</w:t>
      </w:r>
    </w:p>
    <w:p w14:paraId="6D8B30FA" w14:textId="77777777" w:rsidR="000B35E1" w:rsidRPr="000B35E1" w:rsidRDefault="000B35E1" w:rsidP="000B35E1">
      <w:pPr>
        <w:pStyle w:val="ListParagraph"/>
        <w:numPr>
          <w:ilvl w:val="0"/>
          <w:numId w:val="21"/>
        </w:numPr>
      </w:pPr>
      <w:r w:rsidRPr="000B35E1">
        <w:rPr>
          <w:b/>
          <w:bCs/>
        </w:rPr>
        <w:t>Sensing Components:</w:t>
      </w:r>
    </w:p>
    <w:p w14:paraId="0FE2D57E" w14:textId="77777777" w:rsidR="000B35E1" w:rsidRPr="000B35E1" w:rsidRDefault="000B35E1" w:rsidP="000B35E1">
      <w:pPr>
        <w:pStyle w:val="ListParagraph"/>
        <w:numPr>
          <w:ilvl w:val="1"/>
          <w:numId w:val="21"/>
        </w:numPr>
      </w:pPr>
      <w:r w:rsidRPr="000B35E1">
        <w:t>High-precision current sense amplifier (low</w:t>
      </w:r>
      <w:r w:rsidRPr="000B35E1">
        <w:noBreakHyphen/>
        <w:t>drift, appropriate range).</w:t>
      </w:r>
    </w:p>
    <w:p w14:paraId="0C250131" w14:textId="77777777" w:rsidR="000B35E1" w:rsidRPr="000B35E1" w:rsidRDefault="000B35E1" w:rsidP="000B35E1">
      <w:pPr>
        <w:pStyle w:val="ListParagraph"/>
        <w:numPr>
          <w:ilvl w:val="1"/>
          <w:numId w:val="21"/>
        </w:numPr>
      </w:pPr>
      <w:r w:rsidRPr="000B35E1">
        <w:lastRenderedPageBreak/>
        <w:t>Precision voltage references and ADCs/DACs as required.</w:t>
      </w:r>
    </w:p>
    <w:p w14:paraId="02AB740B" w14:textId="77777777" w:rsidR="000B35E1" w:rsidRPr="000B35E1" w:rsidRDefault="000B35E1" w:rsidP="000B35E1">
      <w:pPr>
        <w:pStyle w:val="ListParagraph"/>
        <w:numPr>
          <w:ilvl w:val="0"/>
          <w:numId w:val="21"/>
        </w:numPr>
      </w:pPr>
      <w:r w:rsidRPr="000B35E1">
        <w:rPr>
          <w:b/>
          <w:bCs/>
        </w:rPr>
        <w:t>Isolation Devices:</w:t>
      </w:r>
    </w:p>
    <w:p w14:paraId="068F892A" w14:textId="77777777" w:rsidR="000B35E1" w:rsidRPr="000B35E1" w:rsidRDefault="000B35E1" w:rsidP="000B35E1">
      <w:pPr>
        <w:pStyle w:val="ListParagraph"/>
        <w:numPr>
          <w:ilvl w:val="1"/>
          <w:numId w:val="21"/>
        </w:numPr>
      </w:pPr>
      <w:r w:rsidRPr="000B35E1">
        <w:t>Digital isolators or optocouplers for both data and sensing feedback isolation.</w:t>
      </w:r>
    </w:p>
    <w:p w14:paraId="0DC6CB17" w14:textId="5EA94479" w:rsidR="000B35E1" w:rsidRDefault="000B35E1" w:rsidP="00C06B0C">
      <w:pPr>
        <w:pStyle w:val="ListParagraph"/>
        <w:ind w:left="0"/>
      </w:pPr>
    </w:p>
    <w:p w14:paraId="6211B34E" w14:textId="77777777" w:rsidR="000B35E1" w:rsidRPr="000B35E1" w:rsidRDefault="000B35E1" w:rsidP="000B35E1"/>
    <w:sectPr w:rsidR="000B35E1" w:rsidRPr="000B35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2422CF"/>
    <w:multiLevelType w:val="multilevel"/>
    <w:tmpl w:val="198E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A1F22"/>
    <w:multiLevelType w:val="hybridMultilevel"/>
    <w:tmpl w:val="2AC8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7762FA"/>
    <w:multiLevelType w:val="hybridMultilevel"/>
    <w:tmpl w:val="4874E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DD01BD"/>
    <w:multiLevelType w:val="multilevel"/>
    <w:tmpl w:val="CC0C9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2242D"/>
    <w:multiLevelType w:val="multilevel"/>
    <w:tmpl w:val="F95CE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D5A8B"/>
    <w:multiLevelType w:val="hybridMultilevel"/>
    <w:tmpl w:val="8D00D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158F7"/>
    <w:multiLevelType w:val="hybridMultilevel"/>
    <w:tmpl w:val="C5BEA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A1023"/>
    <w:multiLevelType w:val="multilevel"/>
    <w:tmpl w:val="7DCA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F4D83"/>
    <w:multiLevelType w:val="multilevel"/>
    <w:tmpl w:val="D54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D5640"/>
    <w:multiLevelType w:val="hybridMultilevel"/>
    <w:tmpl w:val="2CD4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536875"/>
    <w:multiLevelType w:val="hybridMultilevel"/>
    <w:tmpl w:val="3A788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7585E"/>
    <w:multiLevelType w:val="multilevel"/>
    <w:tmpl w:val="C1E8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26DE7"/>
    <w:multiLevelType w:val="multilevel"/>
    <w:tmpl w:val="2C9E1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E757B"/>
    <w:multiLevelType w:val="hybridMultilevel"/>
    <w:tmpl w:val="82022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44F5B"/>
    <w:multiLevelType w:val="hybridMultilevel"/>
    <w:tmpl w:val="3F169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A03B34"/>
    <w:multiLevelType w:val="multilevel"/>
    <w:tmpl w:val="06D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141810">
    <w:abstractNumId w:val="8"/>
  </w:num>
  <w:num w:numId="2" w16cid:durableId="979308510">
    <w:abstractNumId w:val="6"/>
  </w:num>
  <w:num w:numId="3" w16cid:durableId="212275025">
    <w:abstractNumId w:val="5"/>
  </w:num>
  <w:num w:numId="4" w16cid:durableId="885289399">
    <w:abstractNumId w:val="4"/>
  </w:num>
  <w:num w:numId="5" w16cid:durableId="137576466">
    <w:abstractNumId w:val="7"/>
  </w:num>
  <w:num w:numId="6" w16cid:durableId="380371807">
    <w:abstractNumId w:val="3"/>
  </w:num>
  <w:num w:numId="7" w16cid:durableId="1404714260">
    <w:abstractNumId w:val="2"/>
  </w:num>
  <w:num w:numId="8" w16cid:durableId="1930235600">
    <w:abstractNumId w:val="1"/>
  </w:num>
  <w:num w:numId="9" w16cid:durableId="1149634680">
    <w:abstractNumId w:val="0"/>
  </w:num>
  <w:num w:numId="10" w16cid:durableId="1017390617">
    <w:abstractNumId w:val="18"/>
  </w:num>
  <w:num w:numId="11" w16cid:durableId="1596211855">
    <w:abstractNumId w:val="15"/>
  </w:num>
  <w:num w:numId="12" w16cid:durableId="566958955">
    <w:abstractNumId w:val="11"/>
  </w:num>
  <w:num w:numId="13" w16cid:durableId="305859696">
    <w:abstractNumId w:val="22"/>
  </w:num>
  <w:num w:numId="14" w16cid:durableId="61874362">
    <w:abstractNumId w:val="14"/>
  </w:num>
  <w:num w:numId="15" w16cid:durableId="487862995">
    <w:abstractNumId w:val="23"/>
  </w:num>
  <w:num w:numId="16" w16cid:durableId="118839873">
    <w:abstractNumId w:val="20"/>
  </w:num>
  <w:num w:numId="17" w16cid:durableId="922646498">
    <w:abstractNumId w:val="24"/>
  </w:num>
  <w:num w:numId="18" w16cid:durableId="1376196965">
    <w:abstractNumId w:val="16"/>
  </w:num>
  <w:num w:numId="19" w16cid:durableId="572084142">
    <w:abstractNumId w:val="13"/>
  </w:num>
  <w:num w:numId="20" w16cid:durableId="268860119">
    <w:abstractNumId w:val="12"/>
  </w:num>
  <w:num w:numId="21" w16cid:durableId="1135565305">
    <w:abstractNumId w:val="21"/>
  </w:num>
  <w:num w:numId="22" w16cid:durableId="458958288">
    <w:abstractNumId w:val="19"/>
  </w:num>
  <w:num w:numId="23" w16cid:durableId="1763066165">
    <w:abstractNumId w:val="17"/>
  </w:num>
  <w:num w:numId="24" w16cid:durableId="600843436">
    <w:abstractNumId w:val="10"/>
  </w:num>
  <w:num w:numId="25" w16cid:durableId="6336816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B20"/>
    <w:rsid w:val="00034616"/>
    <w:rsid w:val="0006063C"/>
    <w:rsid w:val="000B35E1"/>
    <w:rsid w:val="0015074B"/>
    <w:rsid w:val="00186DCD"/>
    <w:rsid w:val="001F1BD8"/>
    <w:rsid w:val="0029639D"/>
    <w:rsid w:val="002A0B11"/>
    <w:rsid w:val="00301E3A"/>
    <w:rsid w:val="00326F90"/>
    <w:rsid w:val="00570350"/>
    <w:rsid w:val="0057616E"/>
    <w:rsid w:val="006A3D01"/>
    <w:rsid w:val="007419B9"/>
    <w:rsid w:val="007B35B5"/>
    <w:rsid w:val="008615E5"/>
    <w:rsid w:val="008A569B"/>
    <w:rsid w:val="00A871FA"/>
    <w:rsid w:val="00AA1D8D"/>
    <w:rsid w:val="00AC0654"/>
    <w:rsid w:val="00B2569D"/>
    <w:rsid w:val="00B47730"/>
    <w:rsid w:val="00C06B0C"/>
    <w:rsid w:val="00CB0664"/>
    <w:rsid w:val="00CC086A"/>
    <w:rsid w:val="00CE4073"/>
    <w:rsid w:val="00D3271F"/>
    <w:rsid w:val="00D42300"/>
    <w:rsid w:val="00EC0A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8FBC60"/>
  <w14:defaultImageDpi w14:val="300"/>
  <w15:docId w15:val="{DB96E4A5-10F8-4D49-A614-16DCAC74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01E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35E1"/>
    <w:rPr>
      <w:color w:val="0000FF" w:themeColor="hyperlink"/>
      <w:u w:val="single"/>
    </w:rPr>
  </w:style>
  <w:style w:type="character" w:styleId="UnresolvedMention">
    <w:name w:val="Unresolved Mention"/>
    <w:basedOn w:val="DefaultParagraphFont"/>
    <w:uiPriority w:val="99"/>
    <w:semiHidden/>
    <w:unhideWhenUsed/>
    <w:rsid w:val="000B3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10913">
      <w:bodyDiv w:val="1"/>
      <w:marLeft w:val="0"/>
      <w:marRight w:val="0"/>
      <w:marTop w:val="0"/>
      <w:marBottom w:val="0"/>
      <w:divBdr>
        <w:top w:val="none" w:sz="0" w:space="0" w:color="auto"/>
        <w:left w:val="none" w:sz="0" w:space="0" w:color="auto"/>
        <w:bottom w:val="none" w:sz="0" w:space="0" w:color="auto"/>
        <w:right w:val="none" w:sz="0" w:space="0" w:color="auto"/>
      </w:divBdr>
    </w:div>
    <w:div w:id="336270711">
      <w:bodyDiv w:val="1"/>
      <w:marLeft w:val="0"/>
      <w:marRight w:val="0"/>
      <w:marTop w:val="0"/>
      <w:marBottom w:val="0"/>
      <w:divBdr>
        <w:top w:val="none" w:sz="0" w:space="0" w:color="auto"/>
        <w:left w:val="none" w:sz="0" w:space="0" w:color="auto"/>
        <w:bottom w:val="none" w:sz="0" w:space="0" w:color="auto"/>
        <w:right w:val="none" w:sz="0" w:space="0" w:color="auto"/>
      </w:divBdr>
    </w:div>
    <w:div w:id="782381475">
      <w:bodyDiv w:val="1"/>
      <w:marLeft w:val="0"/>
      <w:marRight w:val="0"/>
      <w:marTop w:val="0"/>
      <w:marBottom w:val="0"/>
      <w:divBdr>
        <w:top w:val="none" w:sz="0" w:space="0" w:color="auto"/>
        <w:left w:val="none" w:sz="0" w:space="0" w:color="auto"/>
        <w:bottom w:val="none" w:sz="0" w:space="0" w:color="auto"/>
        <w:right w:val="none" w:sz="0" w:space="0" w:color="auto"/>
      </w:divBdr>
    </w:div>
    <w:div w:id="794257544">
      <w:bodyDiv w:val="1"/>
      <w:marLeft w:val="0"/>
      <w:marRight w:val="0"/>
      <w:marTop w:val="0"/>
      <w:marBottom w:val="0"/>
      <w:divBdr>
        <w:top w:val="none" w:sz="0" w:space="0" w:color="auto"/>
        <w:left w:val="none" w:sz="0" w:space="0" w:color="auto"/>
        <w:bottom w:val="none" w:sz="0" w:space="0" w:color="auto"/>
        <w:right w:val="none" w:sz="0" w:space="0" w:color="auto"/>
      </w:divBdr>
    </w:div>
    <w:div w:id="1059475922">
      <w:bodyDiv w:val="1"/>
      <w:marLeft w:val="0"/>
      <w:marRight w:val="0"/>
      <w:marTop w:val="0"/>
      <w:marBottom w:val="0"/>
      <w:divBdr>
        <w:top w:val="none" w:sz="0" w:space="0" w:color="auto"/>
        <w:left w:val="none" w:sz="0" w:space="0" w:color="auto"/>
        <w:bottom w:val="none" w:sz="0" w:space="0" w:color="auto"/>
        <w:right w:val="none" w:sz="0" w:space="0" w:color="auto"/>
      </w:divBdr>
    </w:div>
    <w:div w:id="1293638783">
      <w:bodyDiv w:val="1"/>
      <w:marLeft w:val="0"/>
      <w:marRight w:val="0"/>
      <w:marTop w:val="0"/>
      <w:marBottom w:val="0"/>
      <w:divBdr>
        <w:top w:val="none" w:sz="0" w:space="0" w:color="auto"/>
        <w:left w:val="none" w:sz="0" w:space="0" w:color="auto"/>
        <w:bottom w:val="none" w:sz="0" w:space="0" w:color="auto"/>
        <w:right w:val="none" w:sz="0" w:space="0" w:color="auto"/>
      </w:divBdr>
    </w:div>
    <w:div w:id="1728995359">
      <w:bodyDiv w:val="1"/>
      <w:marLeft w:val="0"/>
      <w:marRight w:val="0"/>
      <w:marTop w:val="0"/>
      <w:marBottom w:val="0"/>
      <w:divBdr>
        <w:top w:val="none" w:sz="0" w:space="0" w:color="auto"/>
        <w:left w:val="none" w:sz="0" w:space="0" w:color="auto"/>
        <w:bottom w:val="none" w:sz="0" w:space="0" w:color="auto"/>
        <w:right w:val="none" w:sz="0" w:space="0" w:color="auto"/>
      </w:divBdr>
    </w:div>
    <w:div w:id="1838689230">
      <w:bodyDiv w:val="1"/>
      <w:marLeft w:val="0"/>
      <w:marRight w:val="0"/>
      <w:marTop w:val="0"/>
      <w:marBottom w:val="0"/>
      <w:divBdr>
        <w:top w:val="none" w:sz="0" w:space="0" w:color="auto"/>
        <w:left w:val="none" w:sz="0" w:space="0" w:color="auto"/>
        <w:bottom w:val="none" w:sz="0" w:space="0" w:color="auto"/>
        <w:right w:val="none" w:sz="0" w:space="0" w:color="auto"/>
      </w:divBdr>
    </w:div>
    <w:div w:id="2003312022">
      <w:bodyDiv w:val="1"/>
      <w:marLeft w:val="0"/>
      <w:marRight w:val="0"/>
      <w:marTop w:val="0"/>
      <w:marBottom w:val="0"/>
      <w:divBdr>
        <w:top w:val="none" w:sz="0" w:space="0" w:color="auto"/>
        <w:left w:val="none" w:sz="0" w:space="0" w:color="auto"/>
        <w:bottom w:val="none" w:sz="0" w:space="0" w:color="auto"/>
        <w:right w:val="none" w:sz="0" w:space="0" w:color="auto"/>
      </w:divBdr>
    </w:div>
    <w:div w:id="2061903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xp.com/design/design-center/development-boards-and-designs/i-mx-evaluation-and-development-boards/i-mx-rt1170-evaluation-kit:MIMXRT1170-EVK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q-group.com/en/products/tq-embedded/arm-architecture/tqma117x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Zachariah Peterson</cp:lastModifiedBy>
  <cp:revision>10</cp:revision>
  <dcterms:created xsi:type="dcterms:W3CDTF">2025-02-20T05:43:00Z</dcterms:created>
  <dcterms:modified xsi:type="dcterms:W3CDTF">2025-02-20T06:01:00Z</dcterms:modified>
  <cp:category/>
</cp:coreProperties>
</file>