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jc w:val="center"/>
      </w:pPr>
      <w:r>
        <w:rPr>
          <w:b/>
          <w:bCs/>
          <w:color w:val="1B8A7F"/>
          <w:spacing w:val="40"/>
          <w:sz w:val="22"/>
          <w:szCs w:val="22"/>
        </w:rPr>
        <w:t xml:space="preserve">FINAL PROJECT PROPOSAL</w:t>
      </w:r>
    </w:p>
    <w:p>
      <w:pPr>
        <w:spacing w:after="200"/>
      </w:pPr>
      <w:r>
        <w:t xml:space="preserve"/>
      </w:r>
    </w:p>
    <w:p>
      <w:pPr>
        <w:spacing w:after="120"/>
        <w:jc w:val="center"/>
      </w:pPr>
      <w:r>
        <w:rPr>
          <w:b/>
          <w:bCs/>
          <w:color w:val="1F3A5F"/>
          <w:sz w:val="56"/>
          <w:szCs w:val="56"/>
        </w:rPr>
        <w:t xml:space="preserve">Power Plant Energy Output</w:t>
      </w:r>
    </w:p>
    <w:p>
      <w:pPr>
        <w:spacing w:after="400"/>
        <w:jc w:val="center"/>
      </w:pPr>
      <w:r>
        <w:rPr>
          <w:b/>
          <w:bCs/>
          <w:color w:val="1F3A5F"/>
          <w:sz w:val="56"/>
          <w:szCs w:val="56"/>
        </w:rPr>
        <w:t xml:space="preserve">Prediction API</w:t>
      </w:r>
    </w:p>
    <w:p>
      <w:pPr>
        <w:pBdr>
          <w:bottom w:val="single" w:color="1B8A7F" w:sz="12" w:space="8"/>
        </w:pBdr>
        <w:spacing w:after="40"/>
        <w:jc w:val="center"/>
      </w:pPr>
      <w:r>
        <w:rPr>
          <w:i/>
          <w:iCs/>
          <w:color w:val="44546A"/>
          <w:sz w:val="24"/>
          <w:szCs w:val="24"/>
        </w:rPr>
        <w:t xml:space="preserve">A Machine Learning Regression System for Combined Cycle Power Plants</w:t>
      </w:r>
    </w:p>
    <w:p>
      <w:pPr>
        <w:spacing w:after="600"/>
      </w:pPr>
      <w:r>
        <w:t xml:space="preserve"/>
      </w:r>
    </w:p>
    <w:p>
      <w:pPr>
        <w:spacing w:after="60"/>
        <w:jc w:val="center"/>
      </w:pPr>
      <w:r>
        <w:rPr>
          <w:color w:val="44546A"/>
          <w:sz w:val="20"/>
          <w:szCs w:val="20"/>
        </w:rPr>
        <w:t xml:space="preserve">Prepared by</w:t>
      </w:r>
    </w:p>
    <w:p>
      <w:pPr>
        <w:spacing w:after="300"/>
        <w:jc w:val="center"/>
      </w:pPr>
      <w:r>
        <w:rPr>
          <w:b/>
          <w:bCs/>
          <w:color w:val="1F3A5F"/>
          <w:sz w:val="30"/>
          <w:szCs w:val="30"/>
        </w:rPr>
        <w:t xml:space="preserve">Abdidahir Bashir Ali</w:t>
      </w:r>
    </w:p>
    <w:p>
      <w:pPr>
        <w:jc w:val="center"/>
      </w:pPr>
      <w:r>
        <w:rPr>
          <w:i/>
          <w:iCs/>
          <w:color w:val="44546A"/>
          <w:sz w:val="20"/>
          <w:szCs w:val="20"/>
        </w:rPr>
        <w:t xml:space="preserve">Certificate Candidate</w:t>
      </w:r>
    </w:p>
    <w:p>
      <w:r>
        <w:br w:type="page"/>
      </w:r>
    </w:p>
    <w:p>
      <w:pPr>
        <w:pStyle w:val="Heading1"/>
        <w:pBdr>
          <w:bottom w:val="single" w:color="1B8A7F" w:sz="8" w:space="6"/>
        </w:pBdr>
        <w:spacing w:after="200" w:before="420"/>
      </w:pPr>
      <w:r>
        <w:rPr>
          <w:b/>
          <w:bCs/>
          <w:color w:val="1B8A7F"/>
          <w:sz w:val="26"/>
          <w:szCs w:val="26"/>
        </w:rPr>
        <w:t xml:space="preserve">1.  </w:t>
      </w:r>
      <w:r>
        <w:rPr>
          <w:b/>
          <w:bCs/>
          <w:color w:val="1F3A5F"/>
          <w:sz w:val="26"/>
          <w:szCs w:val="26"/>
        </w:rPr>
        <w:t xml:space="preserve">Certificate Name</w:t>
      </w:r>
    </w:p>
    <w:p>
      <w:pPr>
        <w:spacing w:after="200"/>
      </w:pPr>
      <w:r>
        <w:rPr>
          <w:b/>
          <w:bCs/>
          <w:color w:val="1F3A5F"/>
          <w:sz w:val="26"/>
          <w:szCs w:val="26"/>
        </w:rPr>
        <w:t xml:space="preserve">Abdidahir Bashir Ali</w:t>
      </w:r>
    </w:p>
    <w:p>
      <w:pPr>
        <w:pStyle w:val="Heading1"/>
        <w:pBdr>
          <w:bottom w:val="single" w:color="1B8A7F" w:sz="8" w:space="6"/>
        </w:pBdr>
        <w:spacing w:after="200" w:before="420"/>
      </w:pPr>
      <w:r>
        <w:rPr>
          <w:b/>
          <w:bCs/>
          <w:color w:val="1B8A7F"/>
          <w:sz w:val="26"/>
          <w:szCs w:val="26"/>
        </w:rPr>
        <w:t xml:space="preserve">2.  </w:t>
      </w:r>
      <w:r>
        <w:rPr>
          <w:b/>
          <w:bCs/>
          <w:color w:val="1F3A5F"/>
          <w:sz w:val="26"/>
          <w:szCs w:val="26"/>
        </w:rPr>
        <w:t xml:space="preserve">Project Title and Description</w:t>
      </w:r>
    </w:p>
    <w:p>
      <w:pPr>
        <w:spacing w:after="160"/>
      </w:pPr>
      <w:r>
        <w:rPr>
          <w:b/>
          <w:bCs/>
          <w:color w:val="1B8A7F"/>
          <w:sz w:val="22"/>
          <w:szCs w:val="22"/>
        </w:rPr>
        <w:t xml:space="preserve">Project Title</w:t>
      </w:r>
    </w:p>
    <w:p>
      <w:pPr>
        <w:spacing w:after="220"/>
      </w:pPr>
      <w:r>
        <w:rPr>
          <w:b/>
          <w:bCs/>
          <w:color w:val="1F3A5F"/>
          <w:sz w:val="24"/>
          <w:szCs w:val="24"/>
        </w:rPr>
        <w:t xml:space="preserve">Power Plant Energy Output Prediction API</w:t>
      </w:r>
    </w:p>
    <w:p>
      <w:pPr>
        <w:spacing w:after="160"/>
      </w:pPr>
      <w:r>
        <w:rPr>
          <w:b/>
          <w:bCs/>
          <w:color w:val="1B8A7F"/>
          <w:sz w:val="22"/>
          <w:szCs w:val="22"/>
        </w:rPr>
        <w:t xml:space="preserve">Description</w:t>
      </w:r>
    </w:p>
    <w:p>
      <w:pPr>
        <w:spacing w:after="200" w:line="300"/>
        <w:jc w:val="both"/>
      </w:pPr>
      <w:r>
        <w:rPr>
          <w:rFonts w:ascii="Calibri" w:cs="Calibri" w:eastAsia="Calibri" w:hAnsi="Calibri"/>
          <w:sz w:val="22"/>
          <w:szCs w:val="22"/>
        </w:rPr>
        <w:t xml:space="preserve">Combined cycle power plants must constantly balance electricity supply with grid demand, but their electrical output is highly sensitive to ambient environmental conditions such as temperature, pressure, and humidity. Operators need a fast, reliable way to estimate expected power output under current conditions so they can plan load dispatch and avoid over- or under-generation.</w:t>
      </w:r>
    </w:p>
    <w:p>
      <w:pPr>
        <w:spacing w:after="200" w:line="300"/>
        <w:jc w:val="both"/>
      </w:pPr>
      <w:r>
        <w:rPr>
          <w:rFonts w:ascii="Calibri" w:cs="Calibri" w:eastAsia="Calibri" w:hAnsi="Calibri"/>
          <w:sz w:val="22"/>
          <w:szCs w:val="22"/>
        </w:rPr>
        <w:t xml:space="preserve">This project builds a machine learning regression model that predicts the net hourly electrical energy output of a combined cycle power plant using ambient sensor readings. The trained model is deployed as a FastAPI application that accepts sensor measurements and returns the predicted power output in megawatts (MW). Plant operators and grid management systems benefit by using these predictions to optimize load scheduling and improve operational efficiency.</w:t>
      </w:r>
    </w:p>
    <w:p>
      <w:pPr>
        <w:pStyle w:val="Heading1"/>
        <w:pBdr>
          <w:bottom w:val="single" w:color="1B8A7F" w:sz="8" w:space="6"/>
        </w:pBdr>
        <w:spacing w:after="200" w:before="420"/>
      </w:pPr>
      <w:r>
        <w:rPr>
          <w:b/>
          <w:bCs/>
          <w:color w:val="1B8A7F"/>
          <w:sz w:val="26"/>
          <w:szCs w:val="26"/>
        </w:rPr>
        <w:t xml:space="preserve">3.  </w:t>
      </w:r>
      <w:r>
        <w:rPr>
          <w:b/>
          <w:bCs/>
          <w:color w:val="1F3A5F"/>
          <w:sz w:val="26"/>
          <w:szCs w:val="26"/>
        </w:rPr>
        <w:t xml:space="preserve">Problem Type</w:t>
      </w:r>
    </w:p>
    <w:p>
      <w:pPr>
        <w:spacing w:after="160"/>
      </w:pPr>
      <w:r>
        <w:rPr>
          <w:b/>
          <w:bCs/>
          <w:color w:val="1F3A5F"/>
          <w:sz w:val="24"/>
          <w:szCs w:val="24"/>
        </w:rPr>
        <w:t xml:space="preserve">Regression</w:t>
      </w:r>
    </w:p>
    <w:p>
      <w:pPr>
        <w:spacing w:after="200" w:line="300"/>
        <w:jc w:val="both"/>
      </w:pPr>
      <w:r>
        <w:rPr>
          <w:rFonts w:ascii="Calibri" w:cs="Calibri" w:eastAsia="Calibri" w:hAnsi="Calibri"/>
          <w:sz w:val="22"/>
          <w:szCs w:val="22"/>
        </w:rPr>
        <w:t xml:space="preserve">This is a regression problem because the target variable — net hourly electrical energy output (PE), measured in megawatts (MW) — is a continuous numerical value.</w:t>
      </w:r>
    </w:p>
    <w:p>
      <w:pPr>
        <w:pStyle w:val="Heading1"/>
        <w:pBdr>
          <w:bottom w:val="single" w:color="1B8A7F" w:sz="8" w:space="6"/>
        </w:pBdr>
        <w:spacing w:after="200" w:before="420"/>
      </w:pPr>
      <w:r>
        <w:rPr>
          <w:b/>
          <w:bCs/>
          <w:color w:val="1B8A7F"/>
          <w:sz w:val="26"/>
          <w:szCs w:val="26"/>
        </w:rPr>
        <w:t xml:space="preserve">4.  </w:t>
      </w:r>
      <w:r>
        <w:rPr>
          <w:b/>
          <w:bCs/>
          <w:color w:val="1F3A5F"/>
          <w:sz w:val="26"/>
          <w:szCs w:val="26"/>
        </w:rPr>
        <w:t xml:space="preserve">Dataset</w:t>
      </w:r>
    </w:p>
    <w:p>
      <w:pPr>
        <w:pStyle w:val="ListParagraph"/>
        <w:numPr>
          <w:ilvl w:val="0"/>
          <w:numId w:val="2"/>
        </w:numPr>
        <w:spacing w:after="100" w:line="280"/>
      </w:pPr>
      <w:r>
        <w:rPr>
          <w:rFonts w:ascii="Calibri" w:cs="Calibri" w:eastAsia="Calibri" w:hAnsi="Calibri"/>
          <w:b/>
          <w:bCs/>
          <w:color w:val="44546A"/>
          <w:sz w:val="22"/>
          <w:szCs w:val="22"/>
        </w:rPr>
        <w:t xml:space="preserve">Dataset Name:  </w:t>
      </w:r>
      <w:r>
        <w:rPr>
          <w:rFonts w:ascii="Calibri" w:cs="Calibri" w:eastAsia="Calibri" w:hAnsi="Calibri"/>
          <w:sz w:val="22"/>
          <w:szCs w:val="22"/>
        </w:rPr>
        <w:t xml:space="preserve">Combined Cycle Power Plant (CCPP)</w:t>
      </w:r>
    </w:p>
    <w:p>
      <w:pPr>
        <w:pStyle w:val="ListParagraph"/>
        <w:numPr>
          <w:ilvl w:val="0"/>
          <w:numId w:val="2"/>
        </w:numPr>
        <w:spacing w:after="100" w:line="280"/>
      </w:pPr>
      <w:r>
        <w:rPr>
          <w:rFonts w:ascii="Calibri" w:cs="Calibri" w:eastAsia="Calibri" w:hAnsi="Calibri"/>
          <w:b/>
          <w:bCs/>
          <w:color w:val="44546A"/>
          <w:sz w:val="22"/>
          <w:szCs w:val="22"/>
        </w:rPr>
        <w:t xml:space="preserve">Source:  </w:t>
      </w:r>
      <w:r>
        <w:rPr>
          <w:rFonts w:ascii="Calibri" w:cs="Calibri" w:eastAsia="Calibri" w:hAnsi="Calibri"/>
          <w:sz w:val="22"/>
          <w:szCs w:val="22"/>
        </w:rPr>
        <w:t xml:space="preserve">UCI Machine Learning Repository</w:t>
      </w:r>
    </w:p>
    <w:p>
      <w:pPr>
        <w:pStyle w:val="ListParagraph"/>
        <w:numPr>
          <w:ilvl w:val="0"/>
          <w:numId w:val="2"/>
        </w:numPr>
        <w:spacing w:after="100" w:line="280"/>
      </w:pPr>
      <w:r>
        <w:rPr>
          <w:b/>
          <w:bCs/>
          <w:color w:val="44546A"/>
          <w:sz w:val="22"/>
          <w:szCs w:val="22"/>
        </w:rPr>
        <w:t xml:space="preserve">Dataset Link:  </w:t>
      </w:r>
      <w:hyperlink w:history="1" r:id="rIdfvwc9ppenptwz_jv11toc">
        <w:r>
          <w:rPr>
            <w:color w:val="2F6FED"/>
            <w:sz w:val="22"/>
            <w:szCs w:val="22"/>
            <w:u w:val="single"/>
          </w:rPr>
          <w:t xml:space="preserve">archive.ics.uci.edu/dataset/294/combined+cycle+power+plant</w:t>
        </w:r>
      </w:hyperlink>
    </w:p>
    <w:p>
      <w:pPr>
        <w:pStyle w:val="ListParagraph"/>
        <w:numPr>
          <w:ilvl w:val="0"/>
          <w:numId w:val="2"/>
        </w:numPr>
        <w:spacing w:after="100" w:line="280"/>
      </w:pPr>
      <w:r>
        <w:rPr>
          <w:rFonts w:ascii="Calibri" w:cs="Calibri" w:eastAsia="Calibri" w:hAnsi="Calibri"/>
          <w:b/>
          <w:bCs/>
          <w:color w:val="44546A"/>
          <w:sz w:val="22"/>
          <w:szCs w:val="22"/>
        </w:rPr>
        <w:t xml:space="preserve">Expected Size:  </w:t>
      </w:r>
      <w:r>
        <w:rPr>
          <w:rFonts w:ascii="Calibri" w:cs="Calibri" w:eastAsia="Calibri" w:hAnsi="Calibri"/>
          <w:sz w:val="22"/>
          <w:szCs w:val="22"/>
        </w:rPr>
        <w:t xml:space="preserve">9,568 rows</w:t>
      </w:r>
    </w:p>
    <w:p>
      <w:pPr>
        <w:pStyle w:val="ListParagraph"/>
        <w:numPr>
          <w:ilvl w:val="0"/>
          <w:numId w:val="2"/>
        </w:numPr>
        <w:spacing w:after="100" w:line="280"/>
      </w:pPr>
      <w:r>
        <w:rPr>
          <w:rFonts w:ascii="Calibri" w:cs="Calibri" w:eastAsia="Calibri" w:hAnsi="Calibri"/>
          <w:b/>
          <w:bCs/>
          <w:color w:val="44546A"/>
          <w:sz w:val="22"/>
          <w:szCs w:val="22"/>
        </w:rPr>
        <w:t xml:space="preserve">Target Column:  </w:t>
      </w:r>
      <w:r>
        <w:rPr>
          <w:rFonts w:ascii="Calibri" w:cs="Calibri" w:eastAsia="Calibri" w:hAnsi="Calibri"/>
          <w:sz w:val="22"/>
          <w:szCs w:val="22"/>
        </w:rPr>
        <w:t xml:space="preserve">PE — Net hourly electrical energy output (MW)</w:t>
      </w:r>
    </w:p>
    <w:p>
      <w:pPr>
        <w:spacing w:after="200"/>
      </w:pPr>
      <w:r>
        <w:t xml:space="preserve"/>
      </w:r>
    </w:p>
    <w:p>
      <w:pPr>
        <w:spacing w:after="160"/>
      </w:pPr>
      <w:r>
        <w:rPr>
          <w:b/>
          <w:bCs/>
          <w:color w:val="1B8A7F"/>
          <w:sz w:val="22"/>
          <w:szCs w:val="22"/>
        </w:rPr>
        <w:t xml:space="preserve">Main Features</w:t>
      </w:r>
    </w:p>
    <w:tbl>
      <w:tblPr>
        <w:tblW w:type="dxa" w:w="9026"/>
        <w:tblBorders>
          <w:top w:val="single" w:color="D0D7E2" w:sz="4"/>
          <w:left w:val="single" w:color="D0D7E2" w:sz="4"/>
          <w:bottom w:val="single" w:color="D0D7E2" w:sz="4"/>
          <w:right w:val="single" w:color="D0D7E2" w:sz="4"/>
          <w:insideH w:val="single" w:color="D0D7E2" w:sz="4"/>
          <w:insideV w:val="single" w:color="D0D7E2" w:sz="4"/>
        </w:tblBorders>
      </w:tblPr>
      <w:tblGrid>
        <w:gridCol w:w="1300"/>
        <w:gridCol w:w="2800"/>
        <w:gridCol w:w="4926"/>
      </w:tblGrid>
      <w:tr>
        <w:trPr>
          <w:tblHeader/>
        </w:trPr>
        <w:tc>
          <w:tcPr>
            <w:tcW w:type="dxa" w:w="1300"/>
            <w:shd w:fill="1F3A5F" w:val="clear"/>
            <w:tcMar>
              <w:top w:type="dxa" w:w="120"/>
              <w:left w:type="dxa" w:w="140"/>
              <w:bottom w:type="dxa" w:w="120"/>
              <w:right w:type="dxa" w:w="140"/>
            </w:tcMar>
            <w:vAlign w:val="center"/>
          </w:tcPr>
          <w:p>
            <w:r>
              <w:rPr>
                <w:rFonts w:ascii="Calibri" w:cs="Calibri" w:eastAsia="Calibri" w:hAnsi="Calibri"/>
                <w:b/>
                <w:bCs/>
                <w:color w:val="FFFFFF"/>
                <w:sz w:val="20"/>
                <w:szCs w:val="20"/>
              </w:rPr>
              <w:t xml:space="preserve">Code</w:t>
            </w:r>
          </w:p>
        </w:tc>
        <w:tc>
          <w:tcPr>
            <w:tcW w:type="dxa" w:w="2800"/>
            <w:shd w:fill="1F3A5F" w:val="clear"/>
            <w:tcMar>
              <w:top w:type="dxa" w:w="120"/>
              <w:left w:type="dxa" w:w="140"/>
              <w:bottom w:type="dxa" w:w="120"/>
              <w:right w:type="dxa" w:w="140"/>
            </w:tcMar>
            <w:vAlign w:val="center"/>
          </w:tcPr>
          <w:p>
            <w:r>
              <w:rPr>
                <w:rFonts w:ascii="Calibri" w:cs="Calibri" w:eastAsia="Calibri" w:hAnsi="Calibri"/>
                <w:b/>
                <w:bCs/>
                <w:color w:val="FFFFFF"/>
                <w:sz w:val="20"/>
                <w:szCs w:val="20"/>
              </w:rPr>
              <w:t xml:space="preserve">Feature</w:t>
            </w:r>
          </w:p>
        </w:tc>
        <w:tc>
          <w:tcPr>
            <w:tcW w:type="dxa" w:w="4926"/>
            <w:shd w:fill="1F3A5F" w:val="clear"/>
            <w:tcMar>
              <w:top w:type="dxa" w:w="120"/>
              <w:left w:type="dxa" w:w="140"/>
              <w:bottom w:type="dxa" w:w="120"/>
              <w:right w:type="dxa" w:w="140"/>
            </w:tcMar>
            <w:vAlign w:val="center"/>
          </w:tcPr>
          <w:p>
            <w:r>
              <w:rPr>
                <w:rFonts w:ascii="Calibri" w:cs="Calibri" w:eastAsia="Calibri" w:hAnsi="Calibri"/>
                <w:b/>
                <w:bCs/>
                <w:color w:val="FFFFFF"/>
                <w:sz w:val="20"/>
                <w:szCs w:val="20"/>
              </w:rPr>
              <w:t xml:space="preserve">Description</w:t>
            </w:r>
          </w:p>
        </w:tc>
      </w:tr>
      <w:tr>
        <w:tc>
          <w:tcPr>
            <w:tcW w:type="dxa" w:w="1300"/>
            <w:shd w:fill="F7F9FB" w:val="clear"/>
            <w:tcMar>
              <w:top w:type="dxa" w:w="120"/>
              <w:left w:type="dxa" w:w="140"/>
              <w:bottom w:type="dxa" w:w="120"/>
              <w:right w:type="dxa" w:w="140"/>
            </w:tcMar>
            <w:vAlign w:val="center"/>
          </w:tcPr>
          <w:p>
            <w:r>
              <w:rPr>
                <w:rFonts w:ascii="Calibri" w:cs="Calibri" w:eastAsia="Calibri" w:hAnsi="Calibri"/>
                <w:b/>
                <w:bCs/>
                <w:color w:val="1B8A7F"/>
                <w:sz w:val="20"/>
                <w:szCs w:val="20"/>
              </w:rPr>
              <w:t xml:space="preserve">AT</w:t>
            </w:r>
          </w:p>
        </w:tc>
        <w:tc>
          <w:tcPr>
            <w:tcW w:type="dxa" w:w="2800"/>
            <w:shd w:fill="F7F9FB" w:val="clear"/>
            <w:tcMar>
              <w:top w:type="dxa" w:w="120"/>
              <w:left w:type="dxa" w:w="140"/>
              <w:bottom w:type="dxa" w:w="120"/>
              <w:right w:type="dxa" w:w="140"/>
            </w:tcMar>
            <w:vAlign w:val="center"/>
          </w:tcPr>
          <w:p>
            <w:r>
              <w:rPr>
                <w:rFonts w:ascii="Calibri" w:cs="Calibri" w:eastAsia="Calibri" w:hAnsi="Calibri"/>
                <w:b w:val="false"/>
                <w:bCs w:val="false"/>
                <w:color w:val="1C2733"/>
                <w:sz w:val="20"/>
                <w:szCs w:val="20"/>
              </w:rPr>
              <w:t xml:space="preserve">Ambient Temperature (°C)</w:t>
            </w:r>
          </w:p>
        </w:tc>
        <w:tc>
          <w:tcPr>
            <w:tcW w:type="dxa" w:w="4926"/>
            <w:shd w:fill="F7F9FB" w:val="clear"/>
            <w:tcMar>
              <w:top w:type="dxa" w:w="120"/>
              <w:left w:type="dxa" w:w="140"/>
              <w:bottom w:type="dxa" w:w="120"/>
              <w:right w:type="dxa" w:w="140"/>
            </w:tcMar>
            <w:vAlign w:val="center"/>
          </w:tcPr>
          <w:p>
            <w:r>
              <w:rPr>
                <w:rFonts w:ascii="Calibri" w:cs="Calibri" w:eastAsia="Calibri" w:hAnsi="Calibri"/>
                <w:b w:val="false"/>
                <w:bCs w:val="false"/>
                <w:color w:val="1C2733"/>
                <w:sz w:val="20"/>
                <w:szCs w:val="20"/>
              </w:rPr>
              <w:t xml:space="preserve">Outdoor air temperature; directly affects gas turbine combustion efficiency.</w:t>
            </w:r>
          </w:p>
        </w:tc>
      </w:tr>
      <w:tr>
        <w:tc>
          <w:tcPr>
            <w:tcW w:type="dxa" w:w="1300"/>
            <w:tcMar>
              <w:top w:type="dxa" w:w="120"/>
              <w:left w:type="dxa" w:w="140"/>
              <w:bottom w:type="dxa" w:w="120"/>
              <w:right w:type="dxa" w:w="140"/>
            </w:tcMar>
            <w:vAlign w:val="center"/>
          </w:tcPr>
          <w:p>
            <w:r>
              <w:rPr>
                <w:rFonts w:ascii="Calibri" w:cs="Calibri" w:eastAsia="Calibri" w:hAnsi="Calibri"/>
                <w:b/>
                <w:bCs/>
                <w:color w:val="1B8A7F"/>
                <w:sz w:val="20"/>
                <w:szCs w:val="20"/>
              </w:rPr>
              <w:t xml:space="preserve">AP</w:t>
            </w:r>
          </w:p>
        </w:tc>
        <w:tc>
          <w:tcPr>
            <w:tcW w:type="dxa" w:w="2800"/>
            <w:tcMar>
              <w:top w:type="dxa" w:w="120"/>
              <w:left w:type="dxa" w:w="140"/>
              <w:bottom w:type="dxa" w:w="120"/>
              <w:right w:type="dxa" w:w="140"/>
            </w:tcMar>
            <w:vAlign w:val="center"/>
          </w:tcPr>
          <w:p>
            <w:r>
              <w:rPr>
                <w:rFonts w:ascii="Calibri" w:cs="Calibri" w:eastAsia="Calibri" w:hAnsi="Calibri"/>
                <w:b w:val="false"/>
                <w:bCs w:val="false"/>
                <w:color w:val="1C2733"/>
                <w:sz w:val="20"/>
                <w:szCs w:val="20"/>
              </w:rPr>
              <w:t xml:space="preserve">Ambient Pressure (mbar)</w:t>
            </w:r>
          </w:p>
        </w:tc>
        <w:tc>
          <w:tcPr>
            <w:tcW w:type="dxa" w:w="4926"/>
            <w:tcMar>
              <w:top w:type="dxa" w:w="120"/>
              <w:left w:type="dxa" w:w="140"/>
              <w:bottom w:type="dxa" w:w="120"/>
              <w:right w:type="dxa" w:w="140"/>
            </w:tcMar>
            <w:vAlign w:val="center"/>
          </w:tcPr>
          <w:p>
            <w:r>
              <w:rPr>
                <w:rFonts w:ascii="Calibri" w:cs="Calibri" w:eastAsia="Calibri" w:hAnsi="Calibri"/>
                <w:b w:val="false"/>
                <w:bCs w:val="false"/>
                <w:color w:val="1C2733"/>
                <w:sz w:val="20"/>
                <w:szCs w:val="20"/>
              </w:rPr>
              <w:t xml:space="preserve">Air pressure; influences air density entering the turbine.</w:t>
            </w:r>
          </w:p>
        </w:tc>
      </w:tr>
      <w:tr>
        <w:tc>
          <w:tcPr>
            <w:tcW w:type="dxa" w:w="1300"/>
            <w:shd w:fill="F7F9FB" w:val="clear"/>
            <w:tcMar>
              <w:top w:type="dxa" w:w="120"/>
              <w:left w:type="dxa" w:w="140"/>
              <w:bottom w:type="dxa" w:w="120"/>
              <w:right w:type="dxa" w:w="140"/>
            </w:tcMar>
            <w:vAlign w:val="center"/>
          </w:tcPr>
          <w:p>
            <w:r>
              <w:rPr>
                <w:rFonts w:ascii="Calibri" w:cs="Calibri" w:eastAsia="Calibri" w:hAnsi="Calibri"/>
                <w:b/>
                <w:bCs/>
                <w:color w:val="1B8A7F"/>
                <w:sz w:val="20"/>
                <w:szCs w:val="20"/>
              </w:rPr>
              <w:t xml:space="preserve">RH</w:t>
            </w:r>
          </w:p>
        </w:tc>
        <w:tc>
          <w:tcPr>
            <w:tcW w:type="dxa" w:w="2800"/>
            <w:shd w:fill="F7F9FB" w:val="clear"/>
            <w:tcMar>
              <w:top w:type="dxa" w:w="120"/>
              <w:left w:type="dxa" w:w="140"/>
              <w:bottom w:type="dxa" w:w="120"/>
              <w:right w:type="dxa" w:w="140"/>
            </w:tcMar>
            <w:vAlign w:val="center"/>
          </w:tcPr>
          <w:p>
            <w:r>
              <w:rPr>
                <w:rFonts w:ascii="Calibri" w:cs="Calibri" w:eastAsia="Calibri" w:hAnsi="Calibri"/>
                <w:b w:val="false"/>
                <w:bCs w:val="false"/>
                <w:color w:val="1C2733"/>
                <w:sz w:val="20"/>
                <w:szCs w:val="20"/>
              </w:rPr>
              <w:t xml:space="preserve">Relative Humidity (%)</w:t>
            </w:r>
          </w:p>
        </w:tc>
        <w:tc>
          <w:tcPr>
            <w:tcW w:type="dxa" w:w="4926"/>
            <w:shd w:fill="F7F9FB" w:val="clear"/>
            <w:tcMar>
              <w:top w:type="dxa" w:w="120"/>
              <w:left w:type="dxa" w:w="140"/>
              <w:bottom w:type="dxa" w:w="120"/>
              <w:right w:type="dxa" w:w="140"/>
            </w:tcMar>
            <w:vAlign w:val="center"/>
          </w:tcPr>
          <w:p>
            <w:r>
              <w:rPr>
                <w:rFonts w:ascii="Calibri" w:cs="Calibri" w:eastAsia="Calibri" w:hAnsi="Calibri"/>
                <w:b w:val="false"/>
                <w:bCs w:val="false"/>
                <w:color w:val="1C2733"/>
                <w:sz w:val="20"/>
                <w:szCs w:val="20"/>
              </w:rPr>
              <w:t xml:space="preserve">Humidity level; affects air density and combustion.</w:t>
            </w:r>
          </w:p>
        </w:tc>
      </w:tr>
      <w:tr>
        <w:tc>
          <w:tcPr>
            <w:tcW w:type="dxa" w:w="1300"/>
            <w:tcMar>
              <w:top w:type="dxa" w:w="120"/>
              <w:left w:type="dxa" w:w="140"/>
              <w:bottom w:type="dxa" w:w="120"/>
              <w:right w:type="dxa" w:w="140"/>
            </w:tcMar>
            <w:vAlign w:val="center"/>
          </w:tcPr>
          <w:p>
            <w:r>
              <w:rPr>
                <w:rFonts w:ascii="Calibri" w:cs="Calibri" w:eastAsia="Calibri" w:hAnsi="Calibri"/>
                <w:b/>
                <w:bCs/>
                <w:color w:val="1B8A7F"/>
                <w:sz w:val="20"/>
                <w:szCs w:val="20"/>
              </w:rPr>
              <w:t xml:space="preserve">V</w:t>
            </w:r>
          </w:p>
        </w:tc>
        <w:tc>
          <w:tcPr>
            <w:tcW w:type="dxa" w:w="2800"/>
            <w:tcMar>
              <w:top w:type="dxa" w:w="120"/>
              <w:left w:type="dxa" w:w="140"/>
              <w:bottom w:type="dxa" w:w="120"/>
              <w:right w:type="dxa" w:w="140"/>
            </w:tcMar>
            <w:vAlign w:val="center"/>
          </w:tcPr>
          <w:p>
            <w:r>
              <w:rPr>
                <w:rFonts w:ascii="Calibri" w:cs="Calibri" w:eastAsia="Calibri" w:hAnsi="Calibri"/>
                <w:b w:val="false"/>
                <w:bCs w:val="false"/>
                <w:color w:val="1C2733"/>
                <w:sz w:val="20"/>
                <w:szCs w:val="20"/>
              </w:rPr>
              <w:t xml:space="preserve">Exhaust Vacuum (cm Hg)</w:t>
            </w:r>
          </w:p>
        </w:tc>
        <w:tc>
          <w:tcPr>
            <w:tcW w:type="dxa" w:w="4926"/>
            <w:tcMar>
              <w:top w:type="dxa" w:w="120"/>
              <w:left w:type="dxa" w:w="140"/>
              <w:bottom w:type="dxa" w:w="120"/>
              <w:right w:type="dxa" w:w="140"/>
            </w:tcMar>
            <w:vAlign w:val="center"/>
          </w:tcPr>
          <w:p>
            <w:r>
              <w:rPr>
                <w:rFonts w:ascii="Calibri" w:cs="Calibri" w:eastAsia="Calibri" w:hAnsi="Calibri"/>
                <w:b w:val="false"/>
                <w:bCs w:val="false"/>
                <w:color w:val="1C2733"/>
                <w:sz w:val="20"/>
                <w:szCs w:val="20"/>
              </w:rPr>
              <w:t xml:space="preserve">Vacuum level from the steam turbine; affects steam cycle efficiency.</w:t>
            </w:r>
          </w:p>
        </w:tc>
      </w:tr>
    </w:tbl>
    <w:p>
      <w:pPr>
        <w:spacing w:after="200"/>
      </w:pPr>
      <w:r>
        <w:t xml:space="preserve"/>
      </w:r>
    </w:p>
    <w:p>
      <w:pPr>
        <w:spacing w:after="200" w:line="300"/>
        <w:jc w:val="both"/>
      </w:pPr>
      <w:r>
        <w:rPr>
          <w:rFonts w:ascii="Calibri" w:cs="Calibri" w:eastAsia="Calibri" w:hAnsi="Calibri"/>
          <w:sz w:val="22"/>
          <w:szCs w:val="22"/>
        </w:rPr>
        <w:t xml:space="preserve">These four ambient/environmental variables directly drive the thermodynamic efficiency of the plant's gas and steam turbines, making them strong predictors of electrical output.</w:t>
      </w:r>
    </w:p>
    <w:p>
      <w:pPr>
        <w:spacing w:after="160" w:before="160"/>
      </w:pPr>
      <w:r>
        <w:rPr>
          <w:b/>
          <w:bCs/>
          <w:color w:val="1B8A7F"/>
          <w:sz w:val="22"/>
          <w:szCs w:val="22"/>
        </w:rPr>
        <w:t xml:space="preserve">Preprocessing Plan</w:t>
      </w:r>
    </w:p>
    <w:p>
      <w:pPr>
        <w:spacing w:after="200" w:line="300"/>
        <w:jc w:val="both"/>
      </w:pPr>
      <w:r>
        <w:rPr>
          <w:rFonts w:ascii="Calibri" w:cs="Calibri" w:eastAsia="Calibri" w:hAnsi="Calibri"/>
          <w:sz w:val="22"/>
          <w:szCs w:val="22"/>
        </w:rPr>
        <w:t xml:space="preserve">Check for and handle any missing values, apply feature scaling (standardization) to the four numeric inputs to benefit distance/gradient-sensitive models, and use an 80/20 train/test split (with a fixed random seed) applied identically across all three algorithms for a fair comparison.</w:t>
      </w:r>
    </w:p>
    <w:p>
      <w:pPr>
        <w:pStyle w:val="Heading1"/>
        <w:pBdr>
          <w:bottom w:val="single" w:color="1B8A7F" w:sz="8" w:space="6"/>
        </w:pBdr>
        <w:spacing w:after="200" w:before="420"/>
      </w:pPr>
      <w:r>
        <w:rPr>
          <w:b/>
          <w:bCs/>
          <w:color w:val="1B8A7F"/>
          <w:sz w:val="26"/>
          <w:szCs w:val="26"/>
        </w:rPr>
        <w:t xml:space="preserve">5.  </w:t>
      </w:r>
      <w:r>
        <w:rPr>
          <w:b/>
          <w:bCs/>
          <w:color w:val="1F3A5F"/>
          <w:sz w:val="26"/>
          <w:szCs w:val="26"/>
        </w:rPr>
        <w:t xml:space="preserve">Algorithms I Plan to Train</w:t>
      </w:r>
    </w:p>
    <w:tbl>
      <w:tblPr>
        <w:tblW w:type="dxa" w:w="9026"/>
        <w:tblBorders>
          <w:top w:val="single" w:color="D0D7E2" w:sz="4"/>
          <w:left w:val="single" w:color="D0D7E2" w:sz="4"/>
          <w:bottom w:val="single" w:color="D0D7E2" w:sz="4"/>
          <w:right w:val="single" w:color="D0D7E2" w:sz="4"/>
          <w:insideH w:val="single" w:color="D0D7E2" w:sz="4"/>
          <w:insideV w:val="single" w:color="D0D7E2" w:sz="4"/>
        </w:tblBorders>
      </w:tblPr>
      <w:tblGrid>
        <w:gridCol w:w="2400"/>
        <w:gridCol w:w="6626"/>
      </w:tblGrid>
      <w:tr>
        <w:trPr>
          <w:tblHeader/>
        </w:trPr>
        <w:tc>
          <w:tcPr>
            <w:tcW w:type="dxa" w:w="2400"/>
            <w:shd w:fill="1F3A5F" w:val="clear"/>
            <w:tcMar>
              <w:top w:type="dxa" w:w="120"/>
              <w:left w:type="dxa" w:w="140"/>
              <w:bottom w:type="dxa" w:w="120"/>
              <w:right w:type="dxa" w:w="140"/>
            </w:tcMar>
            <w:vAlign w:val="center"/>
          </w:tcPr>
          <w:p>
            <w:r>
              <w:rPr>
                <w:rFonts w:ascii="Calibri" w:cs="Calibri" w:eastAsia="Calibri" w:hAnsi="Calibri"/>
                <w:b/>
                <w:bCs/>
                <w:color w:val="FFFFFF"/>
                <w:sz w:val="20"/>
                <w:szCs w:val="20"/>
              </w:rPr>
              <w:t xml:space="preserve">Algorithm</w:t>
            </w:r>
          </w:p>
        </w:tc>
        <w:tc>
          <w:tcPr>
            <w:tcW w:type="dxa" w:w="6626"/>
            <w:shd w:fill="1F3A5F" w:val="clear"/>
            <w:tcMar>
              <w:top w:type="dxa" w:w="120"/>
              <w:left w:type="dxa" w:w="140"/>
              <w:bottom w:type="dxa" w:w="120"/>
              <w:right w:type="dxa" w:w="140"/>
            </w:tcMar>
            <w:vAlign w:val="center"/>
          </w:tcPr>
          <w:p>
            <w:r>
              <w:rPr>
                <w:rFonts w:ascii="Calibri" w:cs="Calibri" w:eastAsia="Calibri" w:hAnsi="Calibri"/>
                <w:b/>
                <w:bCs/>
                <w:color w:val="FFFFFF"/>
                <w:sz w:val="20"/>
                <w:szCs w:val="20"/>
              </w:rPr>
              <w:t xml:space="preserve">Reason for Selection</w:t>
            </w:r>
          </w:p>
        </w:tc>
      </w:tr>
      <w:tr>
        <w:tc>
          <w:tcPr>
            <w:tcW w:type="dxa" w:w="2400"/>
            <w:shd w:fill="F7F9FB" w:val="clear"/>
            <w:tcMar>
              <w:top w:type="dxa" w:w="120"/>
              <w:left w:type="dxa" w:w="140"/>
              <w:bottom w:type="dxa" w:w="120"/>
              <w:right w:type="dxa" w:w="140"/>
            </w:tcMar>
            <w:vAlign w:val="center"/>
          </w:tcPr>
          <w:p>
            <w:r>
              <w:rPr>
                <w:rFonts w:ascii="Calibri" w:cs="Calibri" w:eastAsia="Calibri" w:hAnsi="Calibri"/>
                <w:b/>
                <w:bCs/>
                <w:color w:val="1C2733"/>
                <w:sz w:val="20"/>
                <w:szCs w:val="20"/>
              </w:rPr>
              <w:t xml:space="preserve">Linear Regression</w:t>
            </w:r>
          </w:p>
        </w:tc>
        <w:tc>
          <w:tcPr>
            <w:tcW w:type="dxa" w:w="6626"/>
            <w:shd w:fill="F7F9FB" w:val="clear"/>
            <w:tcMar>
              <w:top w:type="dxa" w:w="120"/>
              <w:left w:type="dxa" w:w="140"/>
              <w:bottom w:type="dxa" w:w="120"/>
              <w:right w:type="dxa" w:w="140"/>
            </w:tcMar>
            <w:vAlign w:val="center"/>
          </w:tcPr>
          <w:p>
            <w:r>
              <w:rPr>
                <w:rFonts w:ascii="Calibri" w:cs="Calibri" w:eastAsia="Calibri" w:hAnsi="Calibri"/>
                <w:b w:val="false"/>
                <w:bCs w:val="false"/>
                <w:color w:val="1C2733"/>
                <w:sz w:val="20"/>
                <w:szCs w:val="20"/>
              </w:rPr>
              <w:t xml:space="preserve">Serves as a simple, interpretable baseline to measure how much predictive power comes from non-linear relationships in the data.</w:t>
            </w:r>
          </w:p>
        </w:tc>
      </w:tr>
      <w:tr>
        <w:tc>
          <w:tcPr>
            <w:tcW w:type="dxa" w:w="2400"/>
            <w:tcMar>
              <w:top w:type="dxa" w:w="120"/>
              <w:left w:type="dxa" w:w="140"/>
              <w:bottom w:type="dxa" w:w="120"/>
              <w:right w:type="dxa" w:w="140"/>
            </w:tcMar>
            <w:vAlign w:val="center"/>
          </w:tcPr>
          <w:p>
            <w:r>
              <w:rPr>
                <w:rFonts w:ascii="Calibri" w:cs="Calibri" w:eastAsia="Calibri" w:hAnsi="Calibri"/>
                <w:b/>
                <w:bCs/>
                <w:color w:val="1C2733"/>
                <w:sz w:val="20"/>
                <w:szCs w:val="20"/>
              </w:rPr>
              <w:t xml:space="preserve">Random Forest Regressor</w:t>
            </w:r>
          </w:p>
        </w:tc>
        <w:tc>
          <w:tcPr>
            <w:tcW w:type="dxa" w:w="6626"/>
            <w:tcMar>
              <w:top w:type="dxa" w:w="120"/>
              <w:left w:type="dxa" w:w="140"/>
              <w:bottom w:type="dxa" w:w="120"/>
              <w:right w:type="dxa" w:w="140"/>
            </w:tcMar>
            <w:vAlign w:val="center"/>
          </w:tcPr>
          <w:p>
            <w:r>
              <w:rPr>
                <w:rFonts w:ascii="Calibri" w:cs="Calibri" w:eastAsia="Calibri" w:hAnsi="Calibri"/>
                <w:b w:val="false"/>
                <w:bCs w:val="false"/>
                <w:color w:val="1C2733"/>
                <w:sz w:val="20"/>
                <w:szCs w:val="20"/>
              </w:rPr>
              <w:t xml:space="preserve">Captures non-linear interactions between ambient variables (e.g., temperature and humidity jointly affecting output) without requiring manual feature scaling.</w:t>
            </w:r>
          </w:p>
        </w:tc>
      </w:tr>
      <w:tr>
        <w:tc>
          <w:tcPr>
            <w:tcW w:type="dxa" w:w="2400"/>
            <w:shd w:fill="F7F9FB" w:val="clear"/>
            <w:tcMar>
              <w:top w:type="dxa" w:w="120"/>
              <w:left w:type="dxa" w:w="140"/>
              <w:bottom w:type="dxa" w:w="120"/>
              <w:right w:type="dxa" w:w="140"/>
            </w:tcMar>
            <w:vAlign w:val="center"/>
          </w:tcPr>
          <w:p>
            <w:r>
              <w:rPr>
                <w:rFonts w:ascii="Calibri" w:cs="Calibri" w:eastAsia="Calibri" w:hAnsi="Calibri"/>
                <w:b/>
                <w:bCs/>
                <w:color w:val="1C2733"/>
                <w:sz w:val="20"/>
                <w:szCs w:val="20"/>
              </w:rPr>
              <w:t xml:space="preserve">Gradient Boosting Regressor</w:t>
            </w:r>
          </w:p>
        </w:tc>
        <w:tc>
          <w:tcPr>
            <w:tcW w:type="dxa" w:w="6626"/>
            <w:shd w:fill="F7F9FB" w:val="clear"/>
            <w:tcMar>
              <w:top w:type="dxa" w:w="120"/>
              <w:left w:type="dxa" w:w="140"/>
              <w:bottom w:type="dxa" w:w="120"/>
              <w:right w:type="dxa" w:w="140"/>
            </w:tcMar>
            <w:vAlign w:val="center"/>
          </w:tcPr>
          <w:p>
            <w:r>
              <w:rPr>
                <w:rFonts w:ascii="Calibri" w:cs="Calibri" w:eastAsia="Calibri" w:hAnsi="Calibri"/>
                <w:b w:val="false"/>
                <w:bCs w:val="false"/>
                <w:color w:val="1C2733"/>
                <w:sz w:val="20"/>
                <w:szCs w:val="20"/>
              </w:rPr>
              <w:t xml:space="preserve">An advanced ensemble method that builds on weak learners sequentially, typically achieving the highest accuracy on smooth, non-linear tabular regression problems like this one.</w:t>
            </w:r>
          </w:p>
        </w:tc>
      </w:tr>
    </w:tbl>
    <w:p>
      <w:pPr>
        <w:spacing w:after="200"/>
      </w:pPr>
      <w:r>
        <w:t xml:space="preserve"/>
      </w:r>
    </w:p>
    <w:p>
      <w:pPr>
        <w:spacing w:after="200" w:line="300"/>
        <w:jc w:val="both"/>
      </w:pPr>
      <w:r>
        <w:rPr>
          <w:rFonts w:ascii="Calibri" w:cs="Calibri" w:eastAsia="Calibri" w:hAnsi="Calibri"/>
          <w:sz w:val="22"/>
          <w:szCs w:val="22"/>
        </w:rPr>
        <w:t xml:space="preserve">These three algorithms will be trained and compared to identify the best-performing regression model. Two (Linear Regression, Random Forest Regressor) come from the bootcamp curriculum; Gradient Boosting Regressor is researched independently via scikit-learn documentation.</w:t>
      </w:r>
    </w:p>
    <w:p>
      <w:pPr>
        <w:pStyle w:val="Heading1"/>
        <w:pBdr>
          <w:bottom w:val="single" w:color="1B8A7F" w:sz="8" w:space="6"/>
        </w:pBdr>
        <w:spacing w:after="200" w:before="420"/>
      </w:pPr>
      <w:r>
        <w:rPr>
          <w:b/>
          <w:bCs/>
          <w:color w:val="1B8A7F"/>
          <w:sz w:val="26"/>
          <w:szCs w:val="26"/>
        </w:rPr>
        <w:t xml:space="preserve">6.  </w:t>
      </w:r>
      <w:r>
        <w:rPr>
          <w:b/>
          <w:bCs/>
          <w:color w:val="1F3A5F"/>
          <w:sz w:val="26"/>
          <w:szCs w:val="26"/>
        </w:rPr>
        <w:t xml:space="preserve">Evaluation Plan</w:t>
      </w:r>
    </w:p>
    <w:p>
      <w:pPr>
        <w:spacing w:after="200" w:line="300"/>
        <w:jc w:val="both"/>
      </w:pPr>
      <w:r>
        <w:rPr>
          <w:rFonts w:ascii="Calibri" w:cs="Calibri" w:eastAsia="Calibri" w:hAnsi="Calibri"/>
          <w:sz w:val="22"/>
          <w:szCs w:val="22"/>
        </w:rPr>
        <w:t xml:space="preserve">The following evaluation metrics will be used to compare all regression models:</w:t>
      </w:r>
    </w:p>
    <w:p>
      <w:pPr>
        <w:pStyle w:val="ListParagraph"/>
        <w:numPr>
          <w:ilvl w:val="0"/>
          <w:numId w:val="2"/>
        </w:numPr>
        <w:spacing w:after="100" w:line="280"/>
      </w:pPr>
      <w:r>
        <w:rPr>
          <w:rFonts w:ascii="Calibri" w:cs="Calibri" w:eastAsia="Calibri" w:hAnsi="Calibri"/>
          <w:sz w:val="22"/>
          <w:szCs w:val="22"/>
        </w:rPr>
        <w:t xml:space="preserve">Mean Absolute Error (MAE)</w:t>
      </w:r>
    </w:p>
    <w:p>
      <w:pPr>
        <w:pStyle w:val="ListParagraph"/>
        <w:numPr>
          <w:ilvl w:val="0"/>
          <w:numId w:val="2"/>
        </w:numPr>
        <w:spacing w:after="100" w:line="280"/>
      </w:pPr>
      <w:r>
        <w:rPr>
          <w:rFonts w:ascii="Calibri" w:cs="Calibri" w:eastAsia="Calibri" w:hAnsi="Calibri"/>
          <w:sz w:val="22"/>
          <w:szCs w:val="22"/>
        </w:rPr>
        <w:t xml:space="preserve">Root Mean Squared Error (RMSE)</w:t>
      </w:r>
    </w:p>
    <w:p>
      <w:pPr>
        <w:pStyle w:val="ListParagraph"/>
        <w:numPr>
          <w:ilvl w:val="0"/>
          <w:numId w:val="2"/>
        </w:numPr>
        <w:spacing w:after="100" w:line="280"/>
      </w:pPr>
      <w:r>
        <w:rPr>
          <w:rFonts w:ascii="Calibri" w:cs="Calibri" w:eastAsia="Calibri" w:hAnsi="Calibri"/>
          <w:sz w:val="22"/>
          <w:szCs w:val="22"/>
        </w:rPr>
        <w:t xml:space="preserve">R² Score</w:t>
      </w:r>
    </w:p>
    <w:p>
      <w:pPr>
        <w:spacing w:after="160"/>
      </w:pPr>
      <w:r>
        <w:t xml:space="preserve"/>
      </w:r>
    </w:p>
    <w:p>
      <w:pPr>
        <w:spacing w:after="160"/>
      </w:pPr>
      <w:r>
        <w:rPr>
          <w:b/>
          <w:bCs/>
          <w:color w:val="1B8A7F"/>
          <w:sz w:val="22"/>
          <w:szCs w:val="22"/>
        </w:rPr>
        <w:t xml:space="preserve">Best Model Selection</w:t>
      </w:r>
    </w:p>
    <w:p>
      <w:pPr>
        <w:spacing w:after="200" w:line="300"/>
        <w:jc w:val="both"/>
      </w:pPr>
      <w:r>
        <w:rPr>
          <w:rFonts w:ascii="Calibri" w:cs="Calibri" w:eastAsia="Calibri" w:hAnsi="Calibri"/>
          <w:sz w:val="22"/>
          <w:szCs w:val="22"/>
        </w:rPr>
        <w:t xml:space="preserve">The best model will be selected by the highest R² Score on the test set. Since the target (PE) has a narrow, well-behaved range (420–496 MW), R² gives the clearest picture of how much output variance the model explains, making it the most meaningful single metric for this operational forecasting tool.</w:t>
      </w:r>
    </w:p>
    <w:p>
      <w:pPr>
        <w:spacing w:after="200" w:line="300"/>
        <w:jc w:val="both"/>
      </w:pPr>
      <w:r>
        <w:rPr>
          <w:rFonts w:ascii="Calibri" w:cs="Calibri" w:eastAsia="Calibri" w:hAnsi="Calibri"/>
          <w:sz w:val="22"/>
          <w:szCs w:val="22"/>
        </w:rPr>
        <w:t xml:space="preserve">If two models are within 0.005 of each other on R² (a near-tie), the tie will be broken by the lower RMSE, since RMSE penalizes larger prediction errors more heavily — an important property for avoiding costly over/under-generation decisions.</w:t>
      </w:r>
    </w:p>
    <w:p>
      <w:pPr>
        <w:pStyle w:val="Heading1"/>
        <w:pBdr>
          <w:bottom w:val="single" w:color="1B8A7F" w:sz="8" w:space="6"/>
        </w:pBdr>
        <w:spacing w:after="200" w:before="420"/>
      </w:pPr>
      <w:r>
        <w:rPr>
          <w:b/>
          <w:bCs/>
          <w:color w:val="1B8A7F"/>
          <w:sz w:val="26"/>
          <w:szCs w:val="26"/>
        </w:rPr>
        <w:t xml:space="preserve">7.  </w:t>
      </w:r>
      <w:r>
        <w:rPr>
          <w:b/>
          <w:bCs/>
          <w:color w:val="1F3A5F"/>
          <w:sz w:val="26"/>
          <w:szCs w:val="26"/>
        </w:rPr>
        <w:t xml:space="preserve">Deployment Sketch</w:t>
      </w:r>
    </w:p>
    <w:p>
      <w:pPr>
        <w:pStyle w:val="ListParagraph"/>
        <w:numPr>
          <w:ilvl w:val="0"/>
          <w:numId w:val="2"/>
        </w:numPr>
        <w:spacing w:after="100" w:line="280"/>
      </w:pPr>
      <w:r>
        <w:rPr>
          <w:rFonts w:ascii="Calibri" w:cs="Calibri" w:eastAsia="Calibri" w:hAnsi="Calibri"/>
          <w:b/>
          <w:bCs/>
          <w:color w:val="44546A"/>
          <w:sz w:val="22"/>
          <w:szCs w:val="22"/>
        </w:rPr>
        <w:t xml:space="preserve">Framework:  </w:t>
      </w:r>
      <w:r>
        <w:rPr>
          <w:rFonts w:ascii="Calibri" w:cs="Calibri" w:eastAsia="Calibri" w:hAnsi="Calibri"/>
          <w:sz w:val="22"/>
          <w:szCs w:val="22"/>
        </w:rPr>
        <w:t xml:space="preserve">FastAPI</w:t>
      </w:r>
    </w:p>
    <w:p>
      <w:pPr>
        <w:pStyle w:val="ListParagraph"/>
        <w:numPr>
          <w:ilvl w:val="0"/>
          <w:numId w:val="2"/>
        </w:numPr>
        <w:spacing w:after="100" w:line="280"/>
      </w:pPr>
      <w:r>
        <w:rPr>
          <w:rFonts w:ascii="Calibri" w:cs="Calibri" w:eastAsia="Calibri" w:hAnsi="Calibri"/>
          <w:b/>
          <w:bCs/>
          <w:color w:val="44546A"/>
          <w:sz w:val="22"/>
          <w:szCs w:val="22"/>
        </w:rPr>
        <w:t xml:space="preserve">Endpoint:  </w:t>
      </w:r>
      <w:r>
        <w:rPr>
          <w:rFonts w:ascii="Calibri" w:cs="Calibri" w:eastAsia="Calibri" w:hAnsi="Calibri"/>
          <w:sz w:val="22"/>
          <w:szCs w:val="22"/>
        </w:rPr>
        <w:t xml:space="preserve">POST /predict</w:t>
      </w:r>
    </w:p>
    <w:p>
      <w:pPr>
        <w:spacing w:after="200"/>
      </w:pPr>
      <w:r>
        <w:t xml:space="preserve"/>
      </w:r>
    </w:p>
    <w:p>
      <w:pPr>
        <w:spacing w:after="140"/>
      </w:pPr>
      <w:r>
        <w:rPr>
          <w:b/>
          <w:bCs/>
          <w:color w:val="1B8A7F"/>
          <w:sz w:val="22"/>
          <w:szCs w:val="22"/>
        </w:rPr>
        <w:t xml:space="preserve">Input (JSON)</w:t>
      </w:r>
    </w:p>
    <w:tbl>
      <w:tblPr>
        <w:tblW w:type="dxa" w:w="9026"/>
        <w:tblBorders>
          <w:top w:val="single" w:color="D0D7E2" w:sz="4"/>
          <w:left w:val="single" w:color="D0D7E2" w:sz="4"/>
          <w:bottom w:val="single" w:color="D0D7E2" w:sz="4"/>
          <w:right w:val="single" w:color="D0D7E2" w:sz="4"/>
          <w:insideH w:val="single" w:color="auto" w:sz="4"/>
          <w:insideV w:val="single" w:color="auto" w:sz="4"/>
        </w:tblBorders>
      </w:tblPr>
      <w:tblGrid>
        <w:gridCol w:w="9026"/>
      </w:tblGrid>
      <w:tr>
        <w:tc>
          <w:tcPr>
            <w:tcW w:type="dxa" w:w="9026"/>
            <w:shd w:fill="F5F7FA" w:val="clear"/>
            <w:tcMar>
              <w:top w:type="dxa" w:w="160"/>
              <w:left w:type="dxa" w:w="200"/>
              <w:bottom w:type="dxa" w:w="160"/>
              <w:right w:type="dxa" w:w="200"/>
            </w:tcMar>
          </w:tcPr>
          <w:p>
            <w:pPr>
              <w:spacing w:after="20"/>
            </w:pPr>
            <w:r>
              <w:rPr>
                <w:rFonts w:ascii="Consolas" w:cs="Consolas" w:eastAsia="Consolas" w:hAnsi="Consolas"/>
                <w:color w:val="2B2B2B"/>
                <w:sz w:val="19"/>
                <w:szCs w:val="19"/>
              </w:rPr>
              <w:t xml:space="preserve">{</w:t>
            </w:r>
          </w:p>
          <w:p>
            <w:pPr>
              <w:spacing w:after="20"/>
            </w:pPr>
            <w:r>
              <w:rPr>
                <w:rFonts w:ascii="Consolas" w:cs="Consolas" w:eastAsia="Consolas" w:hAnsi="Consolas"/>
                <w:color w:val="2B2B2B"/>
                <w:sz w:val="19"/>
                <w:szCs w:val="19"/>
              </w:rPr>
              <w:t xml:space="preserve">  "AT": 23.5,</w:t>
            </w:r>
          </w:p>
          <w:p>
            <w:pPr>
              <w:spacing w:after="20"/>
            </w:pPr>
            <w:r>
              <w:rPr>
                <w:rFonts w:ascii="Consolas" w:cs="Consolas" w:eastAsia="Consolas" w:hAnsi="Consolas"/>
                <w:color w:val="2B2B2B"/>
                <w:sz w:val="19"/>
                <w:szCs w:val="19"/>
              </w:rPr>
              <w:t xml:space="preserve">  "AP": 1012.3,</w:t>
            </w:r>
          </w:p>
          <w:p>
            <w:pPr>
              <w:spacing w:after="20"/>
            </w:pPr>
            <w:r>
              <w:rPr>
                <w:rFonts w:ascii="Consolas" w:cs="Consolas" w:eastAsia="Consolas" w:hAnsi="Consolas"/>
                <w:color w:val="2B2B2B"/>
                <w:sz w:val="19"/>
                <w:szCs w:val="19"/>
              </w:rPr>
              <w:t xml:space="preserve">  "RH": 65.0,</w:t>
            </w:r>
          </w:p>
          <w:p>
            <w:pPr>
              <w:spacing w:after="20"/>
            </w:pPr>
            <w:r>
              <w:rPr>
                <w:rFonts w:ascii="Consolas" w:cs="Consolas" w:eastAsia="Consolas" w:hAnsi="Consolas"/>
                <w:color w:val="2B2B2B"/>
                <w:sz w:val="19"/>
                <w:szCs w:val="19"/>
              </w:rPr>
              <w:t xml:space="preserve">  "V": 45.8</w:t>
            </w:r>
          </w:p>
          <w:p>
            <w:pPr>
              <w:spacing w:after="20"/>
            </w:pPr>
            <w:r>
              <w:rPr>
                <w:rFonts w:ascii="Consolas" w:cs="Consolas" w:eastAsia="Consolas" w:hAnsi="Consolas"/>
                <w:color w:val="2B2B2B"/>
                <w:sz w:val="19"/>
                <w:szCs w:val="19"/>
              </w:rPr>
              <w:t xml:space="preserve">}</w:t>
            </w:r>
          </w:p>
        </w:tc>
      </w:tr>
    </w:tbl>
    <w:p>
      <w:pPr>
        <w:spacing w:after="220"/>
      </w:pPr>
      <w:r>
        <w:t xml:space="preserve"/>
      </w:r>
    </w:p>
    <w:p>
      <w:pPr>
        <w:spacing w:after="140"/>
      </w:pPr>
      <w:r>
        <w:rPr>
          <w:b/>
          <w:bCs/>
          <w:color w:val="1B8A7F"/>
          <w:sz w:val="22"/>
          <w:szCs w:val="22"/>
        </w:rPr>
        <w:t xml:space="preserve">Output (JSON)</w:t>
      </w:r>
    </w:p>
    <w:tbl>
      <w:tblPr>
        <w:tblW w:type="dxa" w:w="9026"/>
        <w:tblBorders>
          <w:top w:val="single" w:color="D0D7E2" w:sz="4"/>
          <w:left w:val="single" w:color="D0D7E2" w:sz="4"/>
          <w:bottom w:val="single" w:color="D0D7E2" w:sz="4"/>
          <w:right w:val="single" w:color="D0D7E2" w:sz="4"/>
          <w:insideH w:val="single" w:color="auto" w:sz="4"/>
          <w:insideV w:val="single" w:color="auto" w:sz="4"/>
        </w:tblBorders>
      </w:tblPr>
      <w:tblGrid>
        <w:gridCol w:w="9026"/>
      </w:tblGrid>
      <w:tr>
        <w:tc>
          <w:tcPr>
            <w:tcW w:type="dxa" w:w="9026"/>
            <w:shd w:fill="F5F7FA" w:val="clear"/>
            <w:tcMar>
              <w:top w:type="dxa" w:w="160"/>
              <w:left w:type="dxa" w:w="200"/>
              <w:bottom w:type="dxa" w:w="160"/>
              <w:right w:type="dxa" w:w="200"/>
            </w:tcMar>
          </w:tcPr>
          <w:p>
            <w:pPr>
              <w:spacing w:after="20"/>
            </w:pPr>
            <w:r>
              <w:rPr>
                <w:rFonts w:ascii="Consolas" w:cs="Consolas" w:eastAsia="Consolas" w:hAnsi="Consolas"/>
                <w:color w:val="2B2B2B"/>
                <w:sz w:val="19"/>
                <w:szCs w:val="19"/>
              </w:rPr>
              <w:t xml:space="preserve">{</w:t>
            </w:r>
          </w:p>
          <w:p>
            <w:pPr>
              <w:spacing w:after="20"/>
            </w:pPr>
            <w:r>
              <w:rPr>
                <w:rFonts w:ascii="Consolas" w:cs="Consolas" w:eastAsia="Consolas" w:hAnsi="Consolas"/>
                <w:color w:val="2B2B2B"/>
                <w:sz w:val="19"/>
                <w:szCs w:val="19"/>
              </w:rPr>
              <w:t xml:space="preserve">  "predicted_power_output_mw": 452.31</w:t>
            </w:r>
          </w:p>
          <w:p>
            <w:pPr>
              <w:spacing w:after="20"/>
            </w:pPr>
            <w:r>
              <w:rPr>
                <w:rFonts w:ascii="Consolas" w:cs="Consolas" w:eastAsia="Consolas" w:hAnsi="Consolas"/>
                <w:color w:val="2B2B2B"/>
                <w:sz w:val="19"/>
                <w:szCs w:val="19"/>
              </w:rPr>
              <w:t xml:space="preserve">}</w:t>
            </w:r>
          </w:p>
        </w:tc>
      </w:tr>
    </w:tbl>
    <w:p>
      <w:pPr>
        <w:spacing w:after="220"/>
      </w:pPr>
      <w:r>
        <w:t xml:space="preserve"/>
      </w:r>
    </w:p>
    <w:p>
      <w:pPr>
        <w:spacing w:after="200" w:line="300"/>
        <w:jc w:val="both"/>
      </w:pPr>
      <w:r>
        <w:rPr>
          <w:rFonts w:ascii="Calibri" w:cs="Calibri" w:eastAsia="Calibri" w:hAnsi="Calibri"/>
          <w:sz w:val="22"/>
          <w:szCs w:val="22"/>
        </w:rPr>
        <w:t xml:space="preserve">The API receives four ambient sensor readings and returns the predicted net electrical power output of the plant in megawatts.</w:t>
      </w:r>
    </w:p>
    <w:p>
      <w:pPr>
        <w:pStyle w:val="Heading1"/>
        <w:pBdr>
          <w:bottom w:val="single" w:color="1B8A7F" w:sz="8" w:space="6"/>
        </w:pBdr>
        <w:spacing w:after="200" w:before="420"/>
      </w:pPr>
      <w:r>
        <w:rPr>
          <w:b/>
          <w:bCs/>
          <w:color w:val="1B8A7F"/>
          <w:sz w:val="26"/>
          <w:szCs w:val="26"/>
        </w:rPr>
        <w:t xml:space="preserve">8.  </w:t>
      </w:r>
      <w:r>
        <w:rPr>
          <w:b/>
          <w:bCs/>
          <w:color w:val="1F3A5F"/>
          <w:sz w:val="26"/>
          <w:szCs w:val="26"/>
        </w:rPr>
        <w:t xml:space="preserve">Repository Plan</w:t>
      </w:r>
    </w:p>
    <w:tbl>
      <w:tblPr>
        <w:tblW w:type="dxa" w:w="9026"/>
        <w:tblBorders>
          <w:top w:val="single" w:color="D0D7E2" w:sz="4"/>
          <w:left w:val="single" w:color="D0D7E2" w:sz="4"/>
          <w:bottom w:val="single" w:color="D0D7E2" w:sz="4"/>
          <w:right w:val="single" w:color="D0D7E2" w:sz="4"/>
          <w:insideH w:val="single" w:color="auto" w:sz="4"/>
          <w:insideV w:val="single" w:color="auto" w:sz="4"/>
        </w:tblBorders>
      </w:tblPr>
      <w:tblGrid>
        <w:gridCol w:w="9026"/>
      </w:tblGrid>
      <w:tr>
        <w:tc>
          <w:tcPr>
            <w:tcW w:type="dxa" w:w="9026"/>
            <w:shd w:fill="F5F7FA" w:val="clear"/>
            <w:tcMar>
              <w:top w:type="dxa" w:w="160"/>
              <w:left w:type="dxa" w:w="200"/>
              <w:bottom w:type="dxa" w:w="160"/>
              <w:right w:type="dxa" w:w="200"/>
            </w:tcMar>
          </w:tcPr>
          <w:p>
            <w:pPr>
              <w:spacing w:after="20"/>
            </w:pPr>
            <w:r>
              <w:rPr>
                <w:rFonts w:ascii="Consolas" w:cs="Consolas" w:eastAsia="Consolas" w:hAnsi="Consolas"/>
                <w:color w:val="2B2B2B"/>
                <w:sz w:val="19"/>
                <w:szCs w:val="19"/>
              </w:rPr>
              <w:t xml:space="preserve">power-plant-prediction-api/</w:t>
            </w:r>
          </w:p>
          <w:p>
            <w:pPr>
              <w:spacing w:after="20"/>
            </w:pPr>
            <w:r>
              <w:rPr>
                <w:rFonts w:ascii="Consolas" w:cs="Consolas" w:eastAsia="Consolas" w:hAnsi="Consolas"/>
                <w:color w:val="2B2B2B"/>
                <w:sz w:val="19"/>
                <w:szCs w:val="19"/>
              </w:rPr>
              <w:t xml:space="preserve">├── dataset/</w:t>
            </w:r>
          </w:p>
          <w:p>
            <w:pPr>
              <w:spacing w:after="20"/>
            </w:pPr>
            <w:r>
              <w:rPr>
                <w:rFonts w:ascii="Consolas" w:cs="Consolas" w:eastAsia="Consolas" w:hAnsi="Consolas"/>
                <w:color w:val="2B2B2B"/>
                <w:sz w:val="19"/>
                <w:szCs w:val="19"/>
              </w:rPr>
              <w:t xml:space="preserve">│   └── ccpp_data.csv</w:t>
            </w:r>
          </w:p>
          <w:p>
            <w:pPr>
              <w:spacing w:after="20"/>
            </w:pPr>
            <w:r>
              <w:rPr>
                <w:rFonts w:ascii="Consolas" w:cs="Consolas" w:eastAsia="Consolas" w:hAnsi="Consolas"/>
                <w:color w:val="2B2B2B"/>
                <w:sz w:val="19"/>
                <w:szCs w:val="19"/>
              </w:rPr>
              <w:t xml:space="preserve">├── src/</w:t>
            </w:r>
          </w:p>
          <w:p>
            <w:pPr>
              <w:spacing w:after="20"/>
            </w:pPr>
            <w:r>
              <w:rPr>
                <w:rFonts w:ascii="Consolas" w:cs="Consolas" w:eastAsia="Consolas" w:hAnsi="Consolas"/>
                <w:color w:val="2B2B2B"/>
                <w:sz w:val="19"/>
                <w:szCs w:val="19"/>
              </w:rPr>
              <w:t xml:space="preserve">│   ├── preprocess.py</w:t>
            </w:r>
          </w:p>
          <w:p>
            <w:pPr>
              <w:spacing w:after="20"/>
            </w:pPr>
            <w:r>
              <w:rPr>
                <w:rFonts w:ascii="Consolas" w:cs="Consolas" w:eastAsia="Consolas" w:hAnsi="Consolas"/>
                <w:color w:val="2B2B2B"/>
                <w:sz w:val="19"/>
                <w:szCs w:val="19"/>
              </w:rPr>
              <w:t xml:space="preserve">│   ├── train.py</w:t>
            </w:r>
          </w:p>
          <w:p>
            <w:pPr>
              <w:spacing w:after="20"/>
            </w:pPr>
            <w:r>
              <w:rPr>
                <w:rFonts w:ascii="Consolas" w:cs="Consolas" w:eastAsia="Consolas" w:hAnsi="Consolas"/>
                <w:color w:val="2B2B2B"/>
                <w:sz w:val="19"/>
                <w:szCs w:val="19"/>
              </w:rPr>
              <w:t xml:space="preserve">│   └── evaluate.py</w:t>
            </w:r>
          </w:p>
          <w:p>
            <w:pPr>
              <w:spacing w:after="20"/>
            </w:pPr>
            <w:r>
              <w:rPr>
                <w:rFonts w:ascii="Consolas" w:cs="Consolas" w:eastAsia="Consolas" w:hAnsi="Consolas"/>
                <w:color w:val="2B2B2B"/>
                <w:sz w:val="19"/>
                <w:szCs w:val="19"/>
              </w:rPr>
              <w:t xml:space="preserve">├── api/</w:t>
            </w:r>
          </w:p>
          <w:p>
            <w:pPr>
              <w:spacing w:after="20"/>
            </w:pPr>
            <w:r>
              <w:rPr>
                <w:rFonts w:ascii="Consolas" w:cs="Consolas" w:eastAsia="Consolas" w:hAnsi="Consolas"/>
                <w:color w:val="2B2B2B"/>
                <w:sz w:val="19"/>
                <w:szCs w:val="19"/>
              </w:rPr>
              <w:t xml:space="preserve">│   └── app.py</w:t>
            </w:r>
          </w:p>
          <w:p>
            <w:pPr>
              <w:spacing w:after="20"/>
            </w:pPr>
            <w:r>
              <w:rPr>
                <w:rFonts w:ascii="Consolas" w:cs="Consolas" w:eastAsia="Consolas" w:hAnsi="Consolas"/>
                <w:color w:val="2B2B2B"/>
                <w:sz w:val="19"/>
                <w:szCs w:val="19"/>
              </w:rPr>
              <w:t xml:space="preserve">├── models/</w:t>
            </w:r>
          </w:p>
          <w:p>
            <w:pPr>
              <w:spacing w:after="20"/>
            </w:pPr>
            <w:r>
              <w:rPr>
                <w:rFonts w:ascii="Consolas" w:cs="Consolas" w:eastAsia="Consolas" w:hAnsi="Consolas"/>
                <w:color w:val="2B2B2B"/>
                <w:sz w:val="19"/>
                <w:szCs w:val="19"/>
              </w:rPr>
              <w:t xml:space="preserve">│   └── best_model.pkl</w:t>
            </w:r>
          </w:p>
          <w:p>
            <w:pPr>
              <w:spacing w:after="20"/>
            </w:pPr>
            <w:r>
              <w:rPr>
                <w:rFonts w:ascii="Consolas" w:cs="Consolas" w:eastAsia="Consolas" w:hAnsi="Consolas"/>
                <w:color w:val="2B2B2B"/>
                <w:sz w:val="19"/>
                <w:szCs w:val="19"/>
              </w:rPr>
              <w:t xml:space="preserve">├── notebooks/</w:t>
            </w:r>
          </w:p>
          <w:p>
            <w:pPr>
              <w:spacing w:after="20"/>
            </w:pPr>
            <w:r>
              <w:rPr>
                <w:rFonts w:ascii="Consolas" w:cs="Consolas" w:eastAsia="Consolas" w:hAnsi="Consolas"/>
                <w:color w:val="2B2B2B"/>
                <w:sz w:val="19"/>
                <w:szCs w:val="19"/>
              </w:rPr>
              <w:t xml:space="preserve">│   └── experimentation.ipynb</w:t>
            </w:r>
          </w:p>
          <w:p>
            <w:pPr>
              <w:spacing w:after="20"/>
            </w:pPr>
            <w:r>
              <w:rPr>
                <w:rFonts w:ascii="Consolas" w:cs="Consolas" w:eastAsia="Consolas" w:hAnsi="Consolas"/>
                <w:color w:val="2B2B2B"/>
                <w:sz w:val="19"/>
                <w:szCs w:val="19"/>
              </w:rPr>
              <w:t xml:space="preserve">├── README.md</w:t>
            </w:r>
          </w:p>
          <w:p>
            <w:pPr>
              <w:spacing w:after="20"/>
            </w:pPr>
            <w:r>
              <w:rPr>
                <w:rFonts w:ascii="Consolas" w:cs="Consolas" w:eastAsia="Consolas" w:hAnsi="Consolas"/>
                <w:color w:val="2B2B2B"/>
                <w:sz w:val="19"/>
                <w:szCs w:val="19"/>
              </w:rPr>
              <w:t xml:space="preserve">├── requirements.txt</w:t>
            </w:r>
          </w:p>
          <w:p>
            <w:pPr>
              <w:spacing w:after="20"/>
            </w:pPr>
            <w:r>
              <w:rPr>
                <w:rFonts w:ascii="Consolas" w:cs="Consolas" w:eastAsia="Consolas" w:hAnsi="Consolas"/>
                <w:color w:val="2B2B2B"/>
                <w:sz w:val="19"/>
                <w:szCs w:val="19"/>
              </w:rPr>
              <w:t xml:space="preserve">└── project_paper.md</w:t>
            </w:r>
          </w:p>
        </w:tc>
      </w:tr>
    </w:tbl>
    <w:p>
      <w:pPr>
        <w:spacing w:after="200"/>
      </w:pPr>
      <w:r>
        <w:t xml:space="preserve"/>
      </w:r>
    </w:p>
    <w:p>
      <w:pPr>
        <w:spacing w:after="200" w:line="300"/>
        <w:jc w:val="both"/>
      </w:pPr>
      <w:r>
        <w:rPr>
          <w:rFonts w:ascii="Calibri" w:cs="Calibri" w:eastAsia="Calibri" w:hAnsi="Calibri"/>
          <w:sz w:val="22"/>
          <w:szCs w:val="22"/>
        </w:rPr>
        <w:t xml:space="preserve">This structure separates raw data, preprocessing/training code, the trained model artifact, the API layer, and documentation — keeping the project organized and easy to deploy.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4" w:space="4"/>
      </w:pBdr>
      <w:tabs>
        <w:tab w:val="right" w:pos="9026"/>
      </w:tabs>
    </w:pPr>
    <w:r>
      <w:rPr>
        <w:color w:val="44546A"/>
        <w:sz w:val="16"/>
        <w:szCs w:val="16"/>
      </w:rPr>
      <w:t xml:space="preserve">Power Plant Energy Output Prediction API</w:t>
    </w:r>
    <w:r>
      <w:rPr>
        <w:color w:val="44546A"/>
        <w:sz w:val="16"/>
        <w:szCs w:val="16"/>
      </w:rPr>
      <w:t xml:space="preserve">	Final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B8A7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vwc9ppenptwz_jv11toc" Type="http://schemas.openxmlformats.org/officeDocument/2006/relationships/hyperlink" Target="https://archive.ics.uci.edu/dataset/294/combined+cycle+power+plan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2026-07-27T08:41:10.324Z</dcterms:created>
  <dcterms:modified xsi:type="dcterms:W3CDTF">2026-07-27T08:41:10.346Z</dcterms:modified>
</cp:coreProperties>
</file>

<file path=docProps/custom.xml><?xml version="1.0" encoding="utf-8"?>
<Properties xmlns="http://schemas.openxmlformats.org/officeDocument/2006/custom-properties" xmlns:vt="http://schemas.openxmlformats.org/officeDocument/2006/docPropsVTypes"/>
</file>