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eastAsia="Arial" w:cs="Arial"/>
          <w:b/>
          <w:sz w:val="36"/>
        </w:rPr>
        <w:t>اتفاقية عدم إفشاء وحماية المعلومات السرية</w:t>
      </w:r>
    </w:p>
    <w:p>
      <w:pPr>
        <w:jc w:val="right"/>
        <w:bidi w:val="1"/>
      </w:pPr>
      <w:r>
        <w:rPr>
          <w:rFonts w:ascii="Arial" w:hAnsi="Arial" w:eastAsia="Arial" w:cs="Arial"/>
          <w:sz w:val="24"/>
        </w:rPr>
        <w:t>أُبرمت هذه الاتفاقية في دبي، دولة الإمارات العربية المتحدة، بين كل من:</w:t>
      </w:r>
    </w:p>
    <w:p>
      <w:pPr>
        <w:jc w:val="right"/>
        <w:bidi w:val="1"/>
      </w:pPr>
      <w:r>
        <w:rPr>
          <w:rFonts w:ascii="Arial" w:hAnsi="Arial" w:eastAsia="Arial" w:cs="Arial"/>
          <w:sz w:val="24"/>
        </w:rPr>
        <w:t>1. شركة بايراميديا (Pyramedia)، شركة تسويق وأتمتة بالذكاء الاصطناعي، ويُشار إليها لاحقاً بـ "الشركة".</w:t>
      </w:r>
    </w:p>
    <w:p>
      <w:pPr>
        <w:jc w:val="right"/>
        <w:bidi w:val="1"/>
      </w:pPr>
      <w:r>
        <w:rPr>
          <w:rFonts w:ascii="Arial" w:hAnsi="Arial" w:eastAsia="Arial" w:cs="Arial"/>
          <w:sz w:val="24"/>
        </w:rPr>
        <w:t>2. السيد/ ...........................................................، ويُشار إليه لاحقاً بـ "الطرف الثاني".</w:t>
      </w:r>
    </w:p>
    <w:p>
      <w:pPr>
        <w:jc w:val="right"/>
        <w:bidi w:val="1"/>
      </w:pPr>
      <w:r>
        <w:rPr>
          <w:rFonts w:ascii="Arial" w:hAnsi="Arial" w:eastAsia="Arial" w:cs="Arial"/>
          <w:b/>
          <w:sz w:val="28"/>
        </w:rPr>
        <w:t>المادة الأولى: المعلومات السرية</w:t>
      </w:r>
    </w:p>
    <w:p>
      <w:pPr>
        <w:jc w:val="right"/>
        <w:bidi w:val="1"/>
      </w:pPr>
      <w:r>
        <w:rPr>
          <w:rFonts w:ascii="Arial" w:hAnsi="Arial" w:eastAsia="Arial" w:cs="Arial"/>
          <w:sz w:val="24"/>
        </w:rPr>
        <w:t>تشمل المعلومات السرية كافة المعلومات والبيانات التقنية والتجارية الخاصة بالشركة، سواء كانت مكتوبة أو شفهية، وعلى وجه الخصوص:</w:t>
      </w:r>
    </w:p>
    <w:p>
      <w:pPr>
        <w:pStyle w:val="ListBullet"/>
        <w:jc w:val="right"/>
        <w:bidi w:val="1"/>
      </w:pPr>
      <w:r>
        <w:rPr>
          <w:rFonts w:ascii="Arial" w:hAnsi="Arial" w:eastAsia="Arial" w:cs="Arial"/>
          <w:sz w:val="24"/>
        </w:rPr>
        <w:t>تقنيات الذكاء الاصطناعي: وتشمل الأوامر البرمجية (Prompts)، نماذج سير العمل (Workflows)، وكلاء الذكاء الاصطناعي (AI Agents)، الأنظمة، بيانات التدريب، والنماذج اللغوية المخصصة.</w:t>
      </w:r>
    </w:p>
    <w:p>
      <w:pPr>
        <w:pStyle w:val="ListBullet"/>
        <w:jc w:val="right"/>
        <w:bidi w:val="1"/>
      </w:pPr>
      <w:r>
        <w:rPr>
          <w:rFonts w:ascii="Arial" w:hAnsi="Arial" w:eastAsia="Arial" w:cs="Arial"/>
          <w:sz w:val="24"/>
        </w:rPr>
        <w:t>البرمجيات والأدوات: وتشمل الأكواد المصدرية، الأدوات الداخلية، السكربتات (Scripts)، والتكاملات (Integrations).</w:t>
      </w:r>
    </w:p>
    <w:p>
      <w:pPr>
        <w:pStyle w:val="ListBullet"/>
        <w:jc w:val="right"/>
        <w:bidi w:val="1"/>
      </w:pPr>
      <w:r>
        <w:rPr>
          <w:rFonts w:ascii="Arial" w:hAnsi="Arial" w:eastAsia="Arial" w:cs="Arial"/>
          <w:sz w:val="24"/>
        </w:rPr>
        <w:t>بيانات العملاء: وتشمل بيانات العملاء المحتملين (Leads) مثل الأسماء والأرقام، استراتيجيات التسويق، الحسابات الإعلانية، بيانات CRM، ومحادثات الواتساب.</w:t>
      </w:r>
    </w:p>
    <w:p>
      <w:pPr>
        <w:pStyle w:val="ListBullet"/>
        <w:jc w:val="right"/>
        <w:bidi w:val="1"/>
      </w:pPr>
      <w:r>
        <w:rPr>
          <w:rFonts w:ascii="Arial" w:hAnsi="Arial" w:eastAsia="Arial" w:cs="Arial"/>
          <w:sz w:val="24"/>
        </w:rPr>
        <w:t>المعلومات التجارية: وتشمل الأسعار، نماذج التسعير، قائمة العملاء، تفاصيل الخدمات، الاتفاقيات مع الأطراف الثالثة، والبيانات المالية.</w:t>
      </w:r>
    </w:p>
    <w:p>
      <w:pPr>
        <w:jc w:val="right"/>
        <w:bidi w:val="1"/>
      </w:pPr>
      <w:r>
        <w:rPr>
          <w:rFonts w:ascii="Arial" w:hAnsi="Arial" w:eastAsia="Arial" w:cs="Arial"/>
          <w:sz w:val="24"/>
        </w:rPr>
        <w:t>الاستثناءات: لا تشمل المعلومات السرية أي معلومات أصبحت متاحة للجمهور بطريقة قانونية أو كانت معروفة للطرف الثاني قبل توقيع هذه الاتفاقية دون التزام بالسرية.</w:t>
      </w:r>
    </w:p>
    <w:p>
      <w:pPr>
        <w:jc w:val="right"/>
        <w:bidi w:val="1"/>
      </w:pPr>
      <w:r>
        <w:rPr>
          <w:rFonts w:ascii="Arial" w:hAnsi="Arial" w:eastAsia="Arial" w:cs="Arial"/>
          <w:b/>
          <w:sz w:val="28"/>
        </w:rPr>
        <w:t>المادة الثانية: الملكية الفكرية</w:t>
      </w:r>
    </w:p>
    <w:p>
      <w:pPr>
        <w:jc w:val="right"/>
        <w:bidi w:val="1"/>
      </w:pPr>
      <w:r>
        <w:rPr>
          <w:rFonts w:ascii="Arial" w:hAnsi="Arial" w:eastAsia="Arial" w:cs="Arial"/>
          <w:sz w:val="24"/>
        </w:rPr>
        <w:t>يقر الطرف الثاني بأن كافة الابتكارات، الأكواد، سير العمل، وأي مخرجات يتم إنتاجها أثناء فترة العمل هي ملكية حصرية ومطلقة للشركة، ولا يحق للطرف الثاني استخدامها خارج نطاق العمل أو نقل ملكيتها.</w:t>
      </w:r>
    </w:p>
    <w:p>
      <w:pPr>
        <w:jc w:val="right"/>
        <w:bidi w:val="1"/>
      </w:pPr>
      <w:r>
        <w:rPr>
          <w:rFonts w:ascii="Arial" w:hAnsi="Arial" w:eastAsia="Arial" w:cs="Arial"/>
          <w:b/>
          <w:sz w:val="28"/>
        </w:rPr>
        <w:t>المادة الثالثة: الوصول التقني والأمان</w:t>
      </w:r>
    </w:p>
    <w:p>
      <w:pPr>
        <w:jc w:val="right"/>
        <w:bidi w:val="1"/>
      </w:pPr>
      <w:r>
        <w:rPr>
          <w:rFonts w:ascii="Arial" w:hAnsi="Arial" w:eastAsia="Arial" w:cs="Arial"/>
          <w:sz w:val="24"/>
        </w:rPr>
        <w:t>يلتزم الطرف الثاني بالحفاظ على سرية مفاتيح API (API Keys)، كلمات المرور، وبيانات الوصول للسيرفرات والأدوات المدفوعة. ويُحظر تماماً نسخ أو نقل أي من هذه البيانات بعد انتهاء العلاقة التعاقدية.</w:t>
      </w:r>
    </w:p>
    <w:p>
      <w:pPr>
        <w:jc w:val="right"/>
        <w:bidi w:val="1"/>
      </w:pPr>
      <w:r>
        <w:rPr>
          <w:rFonts w:ascii="Arial" w:hAnsi="Arial" w:eastAsia="Arial" w:cs="Arial"/>
          <w:b/>
          <w:sz w:val="28"/>
        </w:rPr>
        <w:t>المادة الرابعة: التزامات حماية إضافية</w:t>
      </w:r>
    </w:p>
    <w:p>
      <w:pPr>
        <w:pStyle w:val="ListBullet"/>
        <w:jc w:val="right"/>
        <w:bidi w:val="1"/>
      </w:pPr>
      <w:r>
        <w:rPr>
          <w:rFonts w:ascii="Arial" w:hAnsi="Arial" w:eastAsia="Arial" w:cs="Arial"/>
          <w:sz w:val="24"/>
        </w:rPr>
        <w:t>عدم الاستقطاب (Non-Solicitation): يلتزم الطرف الثاني بعدم محاولة سحب عملاء الشركة أو موظفيها للعمل معه أو مع طرف ثالث.</w:t>
      </w:r>
    </w:p>
    <w:p>
      <w:pPr>
        <w:pStyle w:val="ListBullet"/>
        <w:jc w:val="right"/>
        <w:bidi w:val="1"/>
      </w:pPr>
      <w:r>
        <w:rPr>
          <w:rFonts w:ascii="Arial" w:hAnsi="Arial" w:eastAsia="Arial" w:cs="Arial"/>
          <w:sz w:val="24"/>
        </w:rPr>
        <w:t>إعادة المواد (Return of Materials): يلتزم الطرف الثاني بإعادة كافة الأجهزة، الملفات، وبيانات الوصول فور انتهاء علاقته بالشركة.</w:t>
      </w:r>
    </w:p>
    <w:p>
      <w:pPr>
        <w:pStyle w:val="ListBullet"/>
        <w:jc w:val="right"/>
        <w:bidi w:val="1"/>
      </w:pPr>
      <w:r>
        <w:rPr>
          <w:rFonts w:ascii="Arial" w:hAnsi="Arial" w:eastAsia="Arial" w:cs="Arial"/>
          <w:sz w:val="24"/>
        </w:rPr>
        <w:t>وسائل التواصل الاجتماعي: يُحظر نشر أي مخرجات تخص العملاء أو نتائج أعمالهم على وسائل التواصل الاجتماعي دون إذن كتابي مسبق من الشركة.</w:t>
      </w:r>
    </w:p>
    <w:p>
      <w:pPr>
        <w:jc w:val="right"/>
        <w:bidi w:val="1"/>
      </w:pPr>
      <w:r>
        <w:rPr>
          <w:rFonts w:ascii="Arial" w:hAnsi="Arial" w:eastAsia="Arial" w:cs="Arial"/>
          <w:b/>
          <w:sz w:val="28"/>
        </w:rPr>
        <w:t>المادة الخامسة: المدة والشرط الجزائي</w:t>
      </w:r>
    </w:p>
    <w:p>
      <w:pPr>
        <w:jc w:val="right"/>
        <w:bidi w:val="1"/>
      </w:pPr>
      <w:r>
        <w:rPr>
          <w:rFonts w:ascii="Arial" w:hAnsi="Arial" w:eastAsia="Arial" w:cs="Arial"/>
          <w:sz w:val="24"/>
        </w:rPr>
        <w:t>تظل التزامات السرية سارية لمدة سنتين (2) بعد انتهاء العلاقة التعاقدية. وفي حال إخلال الطرف الثاني بأي بند من بنود هذه الاتفاقية، يلتزم بدفع تعويض اتفاقي (شرط جزائي) وقدره [تحديد المبلغ] درهم إماراتي، مع حق الشركة في المطالبة بتعويضات إضافية عن الأضرار الفعلية.</w:t>
      </w:r>
    </w:p>
    <w:p>
      <w:pPr>
        <w:jc w:val="right"/>
        <w:bidi w:val="1"/>
      </w:pPr>
      <w:r>
        <w:rPr>
          <w:rFonts w:ascii="Arial" w:hAnsi="Arial" w:eastAsia="Arial" w:cs="Arial"/>
          <w:b/>
          <w:sz w:val="28"/>
        </w:rPr>
        <w:t>المادة السادسة: القانون الواجب التطبيق</w:t>
      </w:r>
    </w:p>
    <w:p>
      <w:pPr>
        <w:jc w:val="right"/>
        <w:bidi w:val="1"/>
      </w:pPr>
      <w:r>
        <w:rPr>
          <w:rFonts w:ascii="Arial" w:hAnsi="Arial" w:eastAsia="Arial" w:cs="Arial"/>
          <w:sz w:val="24"/>
        </w:rPr>
        <w:t>تخضع هذه الاتفاقية وتُفسر وفقاً لقوانين دولة الإمارات العربية المتحدة، وبما يتوافق مع المرسوم بقانون اتحادي رقم 33 لسنة 2021 بشأن تنظيم علاقات العمل، والمرسوم بقانون اتحادي رقم 45 لسنة 2021 بشأن حماية البيانات الشخصية. وتختص محاكم دبي بالنظر في أي نزاع ينشأ عنها.</w:t>
      </w:r>
    </w:p>
    <w:p>
      <w:r>
        <w:br/>
        <w:br/>
      </w:r>
    </w:p>
    <w:tbl>
      <w:tblPr>
        <w:tblW w:type="auto" w:w="0"/>
        <w:jc w:val="center"/>
        <w:tblLook w:firstColumn="1" w:firstRow="1" w:lastColumn="0" w:lastRow="0" w:noHBand="0" w:noVBand="1" w:val="04A0"/>
      </w:tblPr>
      <w:tblGrid>
        <w:gridCol w:w="4320"/>
        <w:gridCol w:w="4320"/>
      </w:tblGrid>
      <w:tr>
        <w:tc>
          <w:tcPr>
            <w:tcW w:type="dxa" w:w="4320"/>
          </w:tcPr>
          <w:p/>
          <w:p>
            <w:pPr>
              <w:jc w:val="right"/>
              <w:bidi w:val="1"/>
            </w:pPr>
            <w:r>
              <w:rPr>
                <w:rFonts w:ascii="Arial" w:hAnsi="Arial" w:eastAsia="Arial" w:cs="Arial"/>
                <w:sz w:val="24"/>
              </w:rPr>
              <w:t>توقيع الطرف الثاني:</w:t>
            </w:r>
            <w:r>
              <w:br/>
              <w:br/>
              <w:t>..........................................</w:t>
            </w:r>
          </w:p>
        </w:tc>
        <w:tc>
          <w:tcPr>
            <w:tcW w:type="dxa" w:w="4320"/>
          </w:tcPr>
          <w:p/>
          <w:p>
            <w:pPr>
              <w:jc w:val="right"/>
              <w:bidi w:val="1"/>
            </w:pPr>
            <w:r>
              <w:rPr>
                <w:rFonts w:ascii="Arial" w:hAnsi="Arial" w:eastAsia="Arial" w:cs="Arial"/>
                <w:sz w:val="24"/>
              </w:rPr>
              <w:t>توقيع الطرف الأول (الشركة):</w:t>
            </w:r>
            <w:r>
              <w:br/>
              <w:b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