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E2A44"/>
          <w:sz w:val="48"/>
        </w:rPr>
        <w:t>Intelligent Data Logger: data strategy</w:t>
      </w:r>
    </w:p>
    <w:p>
      <w:r>
        <w:rPr>
          <w:rFonts w:ascii="Calibri" w:hAnsi="Calibri"/>
          <w:b w:val="0"/>
          <w:i w:val="0"/>
          <w:color w:val="4A5878"/>
          <w:sz w:val="26"/>
        </w:rPr>
        <w:t>What to show, what to build next, and what to leave alone</w:t>
      </w:r>
    </w:p>
    <w:p>
      <w:r>
        <w:rPr>
          <w:rFonts w:ascii="Calibri" w:hAnsi="Calibri"/>
          <w:b w:val="0"/>
          <w:i w:val="0"/>
          <w:color w:val="5B6272"/>
          <w:sz w:val="19"/>
        </w:rPr>
        <w:t>Petgrave.io edition (research and product team) · 17 October 2026</w:t>
      </w:r>
    </w:p>
    <w:p>
      <w:r>
        <w:rPr>
          <w:rFonts w:ascii="Calibri" w:hAnsi="Calibri"/>
          <w:b w:val="0"/>
          <w:i/>
          <w:color w:val="5B6272"/>
          <w:sz w:val="19"/>
        </w:rPr>
        <w:t>Status: Provisional: before any field data; revisit after the first pilot month</w:t>
      </w:r>
    </w:p>
    <w:p>
      <w:pPr>
        <w:keepNext/>
        <w:spacing w:before="280"/>
      </w:pPr>
      <w:r>
        <w:rPr>
          <w:rFonts w:ascii="Calibri" w:hAnsi="Calibri"/>
          <w:b/>
          <w:i w:val="0"/>
          <w:color w:val="1E2A44"/>
          <w:sz w:val="30"/>
        </w:rPr>
        <w:t>The one thing to see differently</w:t>
      </w:r>
    </w:p>
    <w:p>
      <w:pPr>
        <w:spacing w:after="120"/>
      </w:pPr>
      <w:r>
        <w:rPr>
          <w:rFonts w:ascii="Calibri" w:hAnsi="Calibri"/>
          <w:b w:val="0"/>
          <w:i w:val="0"/>
          <w:color w:val="161B26"/>
          <w:sz w:val="21"/>
        </w:rPr>
        <w:t xml:space="preserve">The obvious next step for an AI data logger is more AI, or our own hardware. The evidence points somewhere else. On synthetic data, our method gets 233 of 240 diagnoses right when it can see history across all components. In the field, we would have no way to know whether a diagnosis was right, because </w:t>
      </w:r>
      <w:r>
        <w:rPr>
          <w:rFonts w:ascii="Calibri" w:hAnsi="Calibri"/>
          <w:b/>
          <w:i w:val="0"/>
          <w:color w:val="161B26"/>
          <w:sz w:val="21"/>
        </w:rPr>
        <w:t>nobody writes down what the installer actually found</w:t>
      </w:r>
      <w:r>
        <w:rPr>
          <w:rFonts w:ascii="Calibri" w:hAnsi="Calibri"/>
          <w:b w:val="0"/>
          <w:i w:val="0"/>
          <w:color w:val="161B26"/>
          <w:sz w:val="21"/>
        </w:rPr>
        <w:t xml:space="preserve"> when they go back. Six of the seven installers asked had one or two such return visits a year. Those visits are the cheapest ground truth there is. The first thing to collect is a two-line note, not more telemetry.</w:t>
      </w:r>
    </w:p>
    <w:p>
      <w:pPr>
        <w:keepNext/>
        <w:jc w:val="center"/>
      </w:pPr>
      <w:r>
        <w:drawing>
          <wp:inline xmlns:a="http://schemas.openxmlformats.org/drawingml/2006/main" xmlns:pic="http://schemas.openxmlformats.org/drawingml/2006/picture">
            <wp:extent cx="5976000" cy="2001194"/>
            <wp:docPr id="1" name="Picture 1"/>
            <wp:cNvGraphicFramePr>
              <a:graphicFrameLocks noChangeAspect="1"/>
            </wp:cNvGraphicFramePr>
            <a:graphic>
              <a:graphicData uri="http://schemas.openxmlformats.org/drawingml/2006/picture">
                <pic:pic>
                  <pic:nvPicPr>
                    <pic:cNvPr id="0" name="access.png"/>
                    <pic:cNvPicPr/>
                  </pic:nvPicPr>
                  <pic:blipFill>
                    <a:blip r:embed="rId10"/>
                    <a:stretch>
                      <a:fillRect/>
                    </a:stretch>
                  </pic:blipFill>
                  <pic:spPr>
                    <a:xfrm>
                      <a:off x="0" y="0"/>
                      <a:ext cx="5976000" cy="2001194"/>
                    </a:xfrm>
                    <a:prstGeom prst="rect"/>
                  </pic:spPr>
                </pic:pic>
              </a:graphicData>
            </a:graphic>
          </wp:inline>
        </w:drawing>
      </w:r>
    </w:p>
    <w:p>
      <w:pPr>
        <w:spacing w:after="200"/>
      </w:pPr>
      <w:r>
        <w:rPr>
          <w:rFonts w:ascii="Calibri" w:hAnsi="Calibri"/>
          <w:b/>
          <w:i w:val="0"/>
          <w:color w:val="5B6272"/>
          <w:sz w:val="18"/>
        </w:rPr>
        <w:t>Figure 1.</w:t>
      </w:r>
      <w:r>
        <w:rPr>
          <w:rFonts w:ascii="Calibri" w:hAnsi="Calibri"/>
          <w:b w:val="0"/>
          <w:i w:val="0"/>
          <w:color w:val="5B6272"/>
          <w:sz w:val="18"/>
        </w:rPr>
        <w:t xml:space="preserve"> History across components is what makes diagnosis work: the same policy drops from 97.1% to 20.0% with a day of inverter data. Synthetic: 240 cases per condition.</w:t>
      </w:r>
    </w:p>
    <w:p>
      <w:pPr>
        <w:keepNext/>
        <w:spacing w:before="280"/>
      </w:pPr>
      <w:r>
        <w:rPr>
          <w:rFonts w:ascii="Calibri" w:hAnsi="Calibri"/>
          <w:b/>
          <w:i w:val="0"/>
          <w:color w:val="1E2A44"/>
          <w:sz w:val="30"/>
        </w:rPr>
        <w:t>Our vision</w:t>
      </w:r>
    </w:p>
    <w:tbl>
      <w:tblPr>
        <w:tblW w:type="auto" w:w="0"/>
        <w:tblLook w:firstColumn="1" w:firstRow="1" w:lastColumn="0" w:lastRow="0" w:noHBand="0" w:noVBand="1" w:val="04A0"/>
        <w:jc w:val="center"/>
        <w:tblBorders>
          <w:top w:val="single" w:sz="6" w:color="AEB6C6"/>
          <w:left w:val="single" w:sz="6" w:color="AEB6C6"/>
          <w:bottom w:val="single" w:sz="6" w:color="AEB6C6"/>
          <w:right w:val="single" w:sz="6" w:color="AEB6C6"/>
          <w:insideH w:val="single" w:sz="6" w:color="AEB6C6"/>
          <w:insideV w:val="single" w:sz="6" w:color="AEB6C6"/>
        </w:tblBorders>
      </w:tblPr>
      <w:tblGrid>
        <w:gridCol w:w="9412"/>
      </w:tblGrid>
      <w:tr>
        <w:tc>
          <w:tcPr>
            <w:tcW w:type="dxa" w:w="9412"/>
            <w:shd w:val="clear" w:color="auto" w:fill="EEF0F3"/>
          </w:tcPr>
          <w:p>
            <w:r/>
            <w:r>
              <w:rPr>
                <w:rFonts w:ascii="Calibri" w:hAnsi="Calibri"/>
                <w:b w:val="0"/>
                <w:i w:val="0"/>
                <w:color w:val="1E2A44"/>
                <w:sz w:val="21"/>
              </w:rPr>
              <w:t>We aim to show that a solar data logger can answer an owner's questions with evidence a stranger can check, by running our method on a few real installations whose installers record what they actually found, so that problems are fixed before the lights go off and the savings are there to see, without claiming field accuracy before we have measured it, letting the AI make the engineering call, or building hardware before the data we already have has been tried.</w:t>
            </w:r>
          </w:p>
        </w:tc>
      </w:tr>
    </w:tbl>
    <w:p/>
    <w:p>
      <w:pPr>
        <w:spacing w:after="120"/>
      </w:pPr>
      <w:r>
        <w:rPr>
          <w:rFonts w:ascii="Calibri" w:hAnsi="Calibri"/>
          <w:b w:val="0"/>
          <w:i w:val="0"/>
          <w:color w:val="161B26"/>
          <w:sz w:val="21"/>
        </w:rPr>
        <w:t xml:space="preserve">For the team wall: </w:t>
      </w:r>
      <w:r>
        <w:rPr>
          <w:rFonts w:ascii="Calibri" w:hAnsi="Calibri"/>
          <w:b/>
          <w:i w:val="0"/>
          <w:color w:val="161B26"/>
          <w:sz w:val="21"/>
        </w:rPr>
        <w:t>no answer without evidence; no claim without a field check.</w:t>
      </w:r>
    </w:p>
    <w:p>
      <w:pPr>
        <w:keepNext/>
        <w:spacing w:before="280"/>
      </w:pPr>
      <w:r>
        <w:rPr>
          <w:rFonts w:ascii="Calibri" w:hAnsi="Calibri"/>
          <w:b/>
          <w:i w:val="0"/>
          <w:color w:val="1E2A44"/>
          <w:sz w:val="30"/>
        </w:rPr>
        <w:t>Where we are today</w:t>
      </w:r>
    </w:p>
    <w:p>
      <w:pPr>
        <w:spacing w:after="120"/>
      </w:pPr>
      <w:r>
        <w:rPr>
          <w:rFonts w:ascii="Calibri" w:hAnsi="Calibri"/>
          <w:b/>
          <w:i w:val="0"/>
          <w:color w:val="161B26"/>
          <w:sz w:val="21"/>
        </w:rPr>
        <w:t>What changed since August.</w:t>
      </w:r>
      <w:r>
        <w:rPr>
          <w:rFonts w:ascii="Calibri" w:hAnsi="Calibri"/>
          <w:b w:val="0"/>
          <w:i w:val="0"/>
          <w:color w:val="161B26"/>
          <w:sz w:val="21"/>
        </w:rPr>
        <w:t xml:space="preserve"> The plan was to validate an intelligent layer on real data. The paper now presents a reproducible method with a synthetic worked evaluation. That is the claim the evidence supports. Validation becomes the field phase.</w:t>
      </w:r>
    </w:p>
    <w:p>
      <w:pPr>
        <w:keepNext/>
        <w:jc w:val="center"/>
      </w:pPr>
      <w:r>
        <w:drawing>
          <wp:inline xmlns:a="http://schemas.openxmlformats.org/drawingml/2006/main" xmlns:pic="http://schemas.openxmlformats.org/drawingml/2006/picture">
            <wp:extent cx="5976000" cy="1425046"/>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976000" cy="1425046"/>
                    </a:xfrm>
                    <a:prstGeom prst="rect"/>
                  </pic:spPr>
                </pic:pic>
              </a:graphicData>
            </a:graphic>
          </wp:inline>
        </w:drawing>
      </w:r>
    </w:p>
    <w:p>
      <w:pPr>
        <w:spacing w:after="200"/>
      </w:pPr>
      <w:r>
        <w:rPr>
          <w:rFonts w:ascii="Calibri" w:hAnsi="Calibri"/>
          <w:b/>
          <w:i w:val="0"/>
          <w:color w:val="5B6272"/>
          <w:sz w:val="18"/>
        </w:rPr>
        <w:t>Figure 2.</w:t>
      </w:r>
      <w:r>
        <w:rPr>
          <w:rFonts w:ascii="Calibri" w:hAnsi="Calibri"/>
          <w:b w:val="0"/>
          <w:i w:val="0"/>
          <w:color w:val="5B6272"/>
          <w:sz w:val="18"/>
        </w:rPr>
        <w:t xml:space="preserve"> Strong in the middle, weak at both ends: the method analyses well, but nothing real goes in yet, and nothing checks what comes out.</w:t>
      </w:r>
    </w:p>
    <w:p>
      <w:pPr>
        <w:keepNext/>
        <w:jc w:val="center"/>
      </w:pPr>
      <w:r>
        <w:drawing>
          <wp:inline xmlns:a="http://schemas.openxmlformats.org/drawingml/2006/main" xmlns:pic="http://schemas.openxmlformats.org/drawingml/2006/picture">
            <wp:extent cx="5976000" cy="2132972"/>
            <wp:docPr id="3" name="Picture 3"/>
            <wp:cNvGraphicFramePr>
              <a:graphicFrameLocks noChangeAspect="1"/>
            </wp:cNvGraphicFramePr>
            <a:graphic>
              <a:graphicData uri="http://schemas.openxmlformats.org/drawingml/2006/picture">
                <pic:pic>
                  <pic:nvPicPr>
                    <pic:cNvPr id="0" name="maturity.png"/>
                    <pic:cNvPicPr/>
                  </pic:nvPicPr>
                  <pic:blipFill>
                    <a:blip r:embed="rId12"/>
                    <a:stretch>
                      <a:fillRect/>
                    </a:stretch>
                  </pic:blipFill>
                  <pic:spPr>
                    <a:xfrm>
                      <a:off x="0" y="0"/>
                      <a:ext cx="5976000" cy="2132972"/>
                    </a:xfrm>
                    <a:prstGeom prst="rect"/>
                  </pic:spPr>
                </pic:pic>
              </a:graphicData>
            </a:graphic>
          </wp:inline>
        </w:drawing>
      </w:r>
    </w:p>
    <w:p>
      <w:pPr>
        <w:spacing w:after="200"/>
      </w:pPr>
      <w:r>
        <w:rPr>
          <w:rFonts w:ascii="Calibri" w:hAnsi="Calibri"/>
          <w:b/>
          <w:i w:val="0"/>
          <w:color w:val="5B6272"/>
          <w:sz w:val="18"/>
        </w:rPr>
        <w:t>Figure 3.</w:t>
      </w:r>
      <w:r>
        <w:rPr>
          <w:rFonts w:ascii="Calibri" w:hAnsi="Calibri"/>
          <w:b w:val="0"/>
          <w:i w:val="0"/>
          <w:color w:val="5B6272"/>
          <w:sz w:val="18"/>
        </w:rPr>
        <w:t xml:space="preserve"> Maturity on real-data operation: filled is today, open is the next level. Processes is the constraint: no real installation's data has flowed through yet.</w:t>
      </w:r>
    </w:p>
    <w:p>
      <w:pPr>
        <w:spacing w:after="120"/>
      </w:pPr>
      <w:r>
        <w:rPr>
          <w:rFonts w:ascii="Calibri" w:hAnsi="Calibri"/>
          <w:b/>
          <w:i w:val="0"/>
          <w:color w:val="161B26"/>
          <w:sz w:val="21"/>
        </w:rPr>
        <w:t>Limiting constraint: Processes.</w:t>
      </w:r>
      <w:r>
        <w:rPr>
          <w:rFonts w:ascii="Calibri" w:hAnsi="Calibri"/>
          <w:b w:val="0"/>
          <w:i w:val="0"/>
          <w:color w:val="161B26"/>
          <w:sz w:val="21"/>
        </w:rPr>
        <w:t xml:space="preserve"> No real data has flowed through the IDL yet. Strategy &amp; Impact ties at Level 1 and depends on it.</w:t>
      </w:r>
    </w:p>
    <w:p>
      <w:pPr>
        <w:spacing w:after="120"/>
      </w:pPr>
      <w:r>
        <w:rPr>
          <w:rFonts w:ascii="Calibri" w:hAnsi="Calibri"/>
          <w:b/>
          <w:i w:val="0"/>
          <w:color w:val="161B26"/>
          <w:sz w:val="21"/>
        </w:rPr>
        <w:t>Easy to miss:</w:t>
      </w:r>
      <w:r>
        <w:rPr>
          <w:rFonts w:ascii="Calibri" w:hAnsi="Calibri"/>
          <w:b w:val="0"/>
          <w:i w:val="0"/>
          <w:color w:val="161B26"/>
          <w:sz w:val="21"/>
        </w:rPr>
        <w:t xml:space="preserve"> even a perfect feed would leave the Learn step empty. Without recorded installer findings, no diagnosis can be checked.</w:t>
      </w:r>
    </w:p>
    <w:p>
      <w:pPr>
        <w:keepNext/>
        <w:spacing w:before="280"/>
      </w:pPr>
      <w:r>
        <w:rPr>
          <w:rFonts w:ascii="Calibri" w:hAnsi="Calibri"/>
          <w:b/>
          <w:i w:val="0"/>
          <w:color w:val="1E2A44"/>
          <w:sz w:val="30"/>
        </w:rPr>
        <w:t>How we will know it's working</w:t>
      </w:r>
    </w:p>
    <w:p>
      <w:pPr>
        <w:spacing w:after="120"/>
      </w:pPr>
      <w:r>
        <w:rPr>
          <w:rFonts w:ascii="Calibri" w:hAnsi="Calibri"/>
          <w:b/>
          <w:i w:val="0"/>
          <w:color w:val="161B26"/>
          <w:sz w:val="21"/>
        </w:rPr>
        <w:t>North Star: field-confirmed diagnoses (M01):</w:t>
      </w:r>
      <w:r>
        <w:rPr>
          <w:rFonts w:ascii="Calibri" w:hAnsi="Calibri"/>
          <w:b w:val="0"/>
          <w:i w:val="0"/>
          <w:color w:val="161B26"/>
          <w:sz w:val="21"/>
        </w:rPr>
        <w:t xml:space="preserve"> diagnoses whose cause matches what the installer recorded on site. Counts, not percentages, until there are 30.</w:t>
      </w:r>
    </w:p>
    <w:tbl>
      <w:tblPr>
        <w:tblW w:type="auto" w:w="0"/>
        <w:tblLook w:firstColumn="1" w:firstRow="1" w:lastColumn="0" w:lastRow="0" w:noHBand="0" w:noVBand="1" w:val="04A0"/>
        <w:tblBorders>
          <w:top w:val="single" w:sz="4" w:color="AEB6C6"/>
          <w:left w:val="single" w:sz="4" w:color="AEB6C6"/>
          <w:bottom w:val="single" w:sz="4" w:color="AEB6C6"/>
          <w:right w:val="single" w:sz="4" w:color="AEB6C6"/>
          <w:insideH w:val="single" w:sz="4" w:color="AEB6C6"/>
          <w:insideV w:val="single" w:sz="4" w:color="AEB6C6"/>
        </w:tblBorders>
      </w:tblPr>
      <w:tblGrid>
        <w:gridCol w:w="3137"/>
        <w:gridCol w:w="3137"/>
        <w:gridCol w:w="3137"/>
      </w:tblGrid>
      <w:tr>
        <w:tc>
          <w:tcPr>
            <w:tcW w:type="dxa" w:w="3137"/>
            <w:shd w:val="clear" w:color="auto" w:fill="1E2A44"/>
          </w:tcPr>
          <w:p>
            <w:r/>
            <w:r>
              <w:rPr>
                <w:rFonts w:ascii="Calibri" w:hAnsi="Calibri"/>
                <w:b/>
                <w:i w:val="0"/>
                <w:color w:val="FFFFFF"/>
                <w:sz w:val="18"/>
              </w:rPr>
              <w:t>Metric</w:t>
            </w:r>
          </w:p>
        </w:tc>
        <w:tc>
          <w:tcPr>
            <w:tcW w:type="dxa" w:w="3137"/>
            <w:shd w:val="clear" w:color="auto" w:fill="1E2A44"/>
          </w:tcPr>
          <w:p>
            <w:r/>
            <w:r>
              <w:rPr>
                <w:rFonts w:ascii="Calibri" w:hAnsi="Calibri"/>
                <w:b/>
                <w:i w:val="0"/>
                <w:color w:val="FFFFFF"/>
                <w:sz w:val="18"/>
              </w:rPr>
              <w:t>Today</w:t>
            </w:r>
          </w:p>
        </w:tc>
        <w:tc>
          <w:tcPr>
            <w:tcW w:type="dxa" w:w="3137"/>
            <w:shd w:val="clear" w:color="auto" w:fill="1E2A44"/>
          </w:tcPr>
          <w:p>
            <w:r/>
            <w:r>
              <w:rPr>
                <w:rFonts w:ascii="Calibri" w:hAnsi="Calibri"/>
                <w:b/>
                <w:i w:val="0"/>
                <w:color w:val="FFFFFF"/>
                <w:sz w:val="18"/>
              </w:rPr>
              <w:t>Decision it informs</w:t>
            </w:r>
          </w:p>
        </w:tc>
      </w:tr>
      <w:tr>
        <w:tc>
          <w:tcPr>
            <w:tcW w:type="dxa" w:w="3137"/>
          </w:tcPr>
          <w:p>
            <w:r/>
            <w:r>
              <w:rPr>
                <w:rFonts w:ascii="Calibri" w:hAnsi="Calibri"/>
                <w:b w:val="0"/>
                <w:i w:val="0"/>
                <w:color w:val="161B26"/>
                <w:sz w:val="18"/>
              </w:rPr>
              <w:t>M01 Field-confirmed diagnoses</w:t>
            </w:r>
          </w:p>
        </w:tc>
        <w:tc>
          <w:tcPr>
            <w:tcW w:type="dxa" w:w="3137"/>
          </w:tcPr>
          <w:p>
            <w:r/>
            <w:r>
              <w:rPr>
                <w:rFonts w:ascii="Calibri" w:hAnsi="Calibri"/>
                <w:b w:val="0"/>
                <w:i w:val="0"/>
                <w:color w:val="161B26"/>
                <w:sz w:val="18"/>
              </w:rPr>
              <w:t>No data</w:t>
            </w:r>
          </w:p>
        </w:tc>
        <w:tc>
          <w:tcPr>
            <w:tcW w:type="dxa" w:w="3137"/>
          </w:tcPr>
          <w:p>
            <w:r/>
            <w:r>
              <w:rPr>
                <w:rFonts w:ascii="Calibri" w:hAnsi="Calibri"/>
                <w:b w:val="0"/>
                <w:i w:val="0"/>
                <w:color w:val="161B26"/>
                <w:sz w:val="18"/>
              </w:rPr>
              <w:t>Does the method work in the field?</w:t>
            </w:r>
          </w:p>
        </w:tc>
      </w:tr>
      <w:tr>
        <w:tc>
          <w:tcPr>
            <w:tcW w:type="dxa" w:w="3137"/>
          </w:tcPr>
          <w:p>
            <w:r/>
            <w:r>
              <w:rPr>
                <w:rFonts w:ascii="Calibri" w:hAnsi="Calibri"/>
                <w:b w:val="0"/>
                <w:i w:val="0"/>
                <w:color w:val="161B26"/>
                <w:sz w:val="18"/>
              </w:rPr>
              <w:t>M02 Sites with a usable weekly feed</w:t>
            </w:r>
          </w:p>
        </w:tc>
        <w:tc>
          <w:tcPr>
            <w:tcW w:type="dxa" w:w="3137"/>
          </w:tcPr>
          <w:p>
            <w:r/>
            <w:r>
              <w:rPr>
                <w:rFonts w:ascii="Calibri" w:hAnsi="Calibri"/>
                <w:b w:val="0"/>
                <w:i w:val="0"/>
                <w:color w:val="161B26"/>
                <w:sz w:val="18"/>
              </w:rPr>
              <w:t>No data</w:t>
            </w:r>
          </w:p>
        </w:tc>
        <w:tc>
          <w:tcPr>
            <w:tcW w:type="dxa" w:w="3137"/>
          </w:tcPr>
          <w:p>
            <w:r/>
            <w:r>
              <w:rPr>
                <w:rFonts w:ascii="Calibri" w:hAnsi="Calibri"/>
                <w:b w:val="0"/>
                <w:i w:val="0"/>
                <w:color w:val="161B26"/>
                <w:sz w:val="18"/>
              </w:rPr>
              <w:t>Is the manual or export route viable?</w:t>
            </w:r>
          </w:p>
        </w:tc>
      </w:tr>
      <w:tr>
        <w:tc>
          <w:tcPr>
            <w:tcW w:type="dxa" w:w="3137"/>
          </w:tcPr>
          <w:p>
            <w:r/>
            <w:r>
              <w:rPr>
                <w:rFonts w:ascii="Calibri" w:hAnsi="Calibri"/>
                <w:b w:val="0"/>
                <w:i w:val="0"/>
                <w:color w:val="161B26"/>
                <w:sz w:val="18"/>
              </w:rPr>
              <w:t>M04 Replies in the required structure</w:t>
            </w:r>
          </w:p>
        </w:tc>
        <w:tc>
          <w:tcPr>
            <w:tcW w:type="dxa" w:w="3137"/>
          </w:tcPr>
          <w:p>
            <w:r/>
            <w:r>
              <w:rPr>
                <w:rFonts w:ascii="Calibri" w:hAnsi="Calibri"/>
                <w:b w:val="0"/>
                <w:i w:val="0"/>
                <w:color w:val="161B26"/>
                <w:sz w:val="18"/>
              </w:rPr>
              <w:t>0 of 24</w:t>
            </w:r>
          </w:p>
        </w:tc>
        <w:tc>
          <w:tcPr>
            <w:tcW w:type="dxa" w:w="3137"/>
          </w:tcPr>
          <w:p>
            <w:r/>
            <w:r>
              <w:rPr>
                <w:rFonts w:ascii="Calibri" w:hAnsi="Calibri"/>
                <w:b w:val="0"/>
                <w:i w:val="0"/>
                <w:color w:val="161B26"/>
                <w:sz w:val="18"/>
              </w:rPr>
              <w:t>Can conversational answers be scored?</w:t>
            </w:r>
          </w:p>
        </w:tc>
      </w:tr>
      <w:tr>
        <w:tc>
          <w:tcPr>
            <w:tcW w:type="dxa" w:w="3137"/>
          </w:tcPr>
          <w:p>
            <w:r/>
            <w:r>
              <w:rPr>
                <w:rFonts w:ascii="Calibri" w:hAnsi="Calibri"/>
                <w:b w:val="0"/>
                <w:i w:val="0"/>
                <w:color w:val="161B26"/>
                <w:sz w:val="18"/>
              </w:rPr>
              <w:t>M05 Replies citing only real measurements</w:t>
            </w:r>
          </w:p>
        </w:tc>
        <w:tc>
          <w:tcPr>
            <w:tcW w:type="dxa" w:w="3137"/>
          </w:tcPr>
          <w:p>
            <w:r/>
            <w:r>
              <w:rPr>
                <w:rFonts w:ascii="Calibri" w:hAnsi="Calibri"/>
                <w:b w:val="0"/>
                <w:i w:val="0"/>
                <w:color w:val="161B26"/>
                <w:sz w:val="18"/>
              </w:rPr>
              <w:t>15 of 24</w:t>
            </w:r>
          </w:p>
        </w:tc>
        <w:tc>
          <w:tcPr>
            <w:tcW w:type="dxa" w:w="3137"/>
          </w:tcPr>
          <w:p>
            <w:r/>
            <w:r>
              <w:rPr>
                <w:rFonts w:ascii="Calibri" w:hAnsi="Calibri"/>
                <w:b w:val="0"/>
                <w:i w:val="0"/>
                <w:color w:val="161B26"/>
                <w:sz w:val="18"/>
              </w:rPr>
              <w:t>Can the prose be trusted?</w:t>
            </w:r>
          </w:p>
        </w:tc>
      </w:tr>
      <w:tr>
        <w:tc>
          <w:tcPr>
            <w:tcW w:type="dxa" w:w="3137"/>
          </w:tcPr>
          <w:p>
            <w:r/>
            <w:r>
              <w:rPr>
                <w:rFonts w:ascii="Calibri" w:hAnsi="Calibri"/>
                <w:b w:val="0"/>
                <w:i w:val="0"/>
                <w:color w:val="161B26"/>
                <w:sz w:val="18"/>
              </w:rPr>
              <w:t>M06 Days from fault to detection</w:t>
            </w:r>
          </w:p>
        </w:tc>
        <w:tc>
          <w:tcPr>
            <w:tcW w:type="dxa" w:w="3137"/>
          </w:tcPr>
          <w:p>
            <w:r/>
            <w:r>
              <w:rPr>
                <w:rFonts w:ascii="Calibri" w:hAnsi="Calibri"/>
                <w:b w:val="0"/>
                <w:i w:val="0"/>
                <w:color w:val="161B26"/>
                <w:sz w:val="18"/>
              </w:rPr>
              <w:t>Synthetic only</w:t>
            </w:r>
          </w:p>
        </w:tc>
        <w:tc>
          <w:tcPr>
            <w:tcW w:type="dxa" w:w="3137"/>
          </w:tcPr>
          <w:p>
            <w:r/>
            <w:r>
              <w:rPr>
                <w:rFonts w:ascii="Calibri" w:hAnsi="Calibri"/>
                <w:b w:val="0"/>
                <w:i w:val="0"/>
                <w:color w:val="161B26"/>
                <w:sz w:val="18"/>
              </w:rPr>
              <w:t>Is early detection real?</w:t>
            </w:r>
          </w:p>
        </w:tc>
      </w:tr>
      <w:tr>
        <w:tc>
          <w:tcPr>
            <w:tcW w:type="dxa" w:w="3137"/>
          </w:tcPr>
          <w:p>
            <w:r/>
            <w:r>
              <w:rPr>
                <w:rFonts w:ascii="Calibri" w:hAnsi="Calibri"/>
                <w:b w:val="0"/>
                <w:i w:val="0"/>
                <w:color w:val="161B26"/>
                <w:sz w:val="18"/>
              </w:rPr>
              <w:t>M07 Installers agreeing to host a site</w:t>
            </w:r>
          </w:p>
        </w:tc>
        <w:tc>
          <w:tcPr>
            <w:tcW w:type="dxa" w:w="3137"/>
          </w:tcPr>
          <w:p>
            <w:r/>
            <w:r>
              <w:rPr>
                <w:rFonts w:ascii="Calibri" w:hAnsi="Calibri"/>
                <w:b w:val="0"/>
                <w:i w:val="0"/>
                <w:color w:val="161B26"/>
                <w:sz w:val="18"/>
              </w:rPr>
              <w:t>Pack ready</w:t>
            </w:r>
          </w:p>
        </w:tc>
        <w:tc>
          <w:tcPr>
            <w:tcW w:type="dxa" w:w="3137"/>
          </w:tcPr>
          <w:p>
            <w:r/>
            <w:r>
              <w:rPr>
                <w:rFonts w:ascii="Calibri" w:hAnsi="Calibri"/>
                <w:b w:val="0"/>
                <w:i w:val="0"/>
                <w:color w:val="161B26"/>
                <w:sz w:val="18"/>
              </w:rPr>
              <w:t>Pilot size and timing</w:t>
            </w:r>
          </w:p>
        </w:tc>
      </w:tr>
      <w:tr>
        <w:tc>
          <w:tcPr>
            <w:tcW w:type="dxa" w:w="3137"/>
          </w:tcPr>
          <w:p>
            <w:r/>
            <w:r>
              <w:rPr>
                <w:rFonts w:ascii="Calibri" w:hAnsi="Calibri"/>
                <w:b w:val="0"/>
                <w:i w:val="0"/>
                <w:color w:val="161B26"/>
                <w:sz w:val="18"/>
              </w:rPr>
              <w:t>M08 Cost per site per month</w:t>
            </w:r>
          </w:p>
        </w:tc>
        <w:tc>
          <w:tcPr>
            <w:tcW w:type="dxa" w:w="3137"/>
          </w:tcPr>
          <w:p>
            <w:r/>
            <w:r>
              <w:rPr>
                <w:rFonts w:ascii="Calibri" w:hAnsi="Calibri"/>
                <w:b w:val="0"/>
                <w:i w:val="0"/>
                <w:color w:val="161B26"/>
                <w:sz w:val="18"/>
              </w:rPr>
              <w:t>Model about USD 0.21 per 24 conversations</w:t>
            </w:r>
          </w:p>
        </w:tc>
        <w:tc>
          <w:tcPr>
            <w:tcW w:type="dxa" w:w="3137"/>
          </w:tcPr>
          <w:p>
            <w:r/>
            <w:r>
              <w:rPr>
                <w:rFonts w:ascii="Calibri" w:hAnsi="Calibri"/>
                <w:b w:val="0"/>
                <w:i w:val="0"/>
                <w:color w:val="161B26"/>
                <w:sz w:val="18"/>
              </w:rPr>
              <w:t>Affordable without funding?</w:t>
            </w:r>
          </w:p>
        </w:tc>
      </w:tr>
    </w:tbl>
    <w:p/>
    <w:p>
      <w:pPr>
        <w:spacing w:after="120"/>
      </w:pPr>
      <w:r>
        <w:rPr>
          <w:rFonts w:ascii="Calibri" w:hAnsi="Calibri"/>
          <w:b w:val="0"/>
          <w:i w:val="0"/>
          <w:color w:val="161B26"/>
          <w:sz w:val="21"/>
        </w:rPr>
        <w:t>Removed as vanity: tools built, rows generated, tests passed, dashboard visits.</w:t>
      </w:r>
    </w:p>
    <w:p>
      <w:pPr>
        <w:keepNext/>
        <w:spacing w:before="280"/>
      </w:pPr>
      <w:r>
        <w:rPr>
          <w:rFonts w:ascii="Calibri" w:hAnsi="Calibri"/>
          <w:b/>
          <w:i w:val="0"/>
          <w:color w:val="1E2A44"/>
          <w:sz w:val="30"/>
        </w:rPr>
        <w:t>What we fix first</w:t>
      </w:r>
    </w:p>
    <w:p>
      <w:pPr>
        <w:keepNext/>
        <w:jc w:val="center"/>
      </w:pPr>
      <w:r>
        <w:drawing>
          <wp:inline xmlns:a="http://schemas.openxmlformats.org/drawingml/2006/main" xmlns:pic="http://schemas.openxmlformats.org/drawingml/2006/picture">
            <wp:extent cx="5976000" cy="2381206"/>
            <wp:docPr id="4" name="Picture 4"/>
            <wp:cNvGraphicFramePr>
              <a:graphicFrameLocks noChangeAspect="1"/>
            </wp:cNvGraphicFramePr>
            <a:graphic>
              <a:graphicData uri="http://schemas.openxmlformats.org/drawingml/2006/picture">
                <pic:pic>
                  <pic:nvPicPr>
                    <pic:cNvPr id="0" name="verdicts.png"/>
                    <pic:cNvPicPr/>
                  </pic:nvPicPr>
                  <pic:blipFill>
                    <a:blip r:embed="rId13"/>
                    <a:stretch>
                      <a:fillRect/>
                    </a:stretch>
                  </pic:blipFill>
                  <pic:spPr>
                    <a:xfrm>
                      <a:off x="0" y="0"/>
                      <a:ext cx="5976000" cy="2381206"/>
                    </a:xfrm>
                    <a:prstGeom prst="rect"/>
                  </pic:spPr>
                </pic:pic>
              </a:graphicData>
            </a:graphic>
          </wp:inline>
        </w:drawing>
      </w:r>
    </w:p>
    <w:p>
      <w:pPr>
        <w:spacing w:after="200"/>
      </w:pPr>
      <w:r>
        <w:rPr>
          <w:rFonts w:ascii="Calibri" w:hAnsi="Calibri"/>
          <w:b/>
          <w:i w:val="0"/>
          <w:color w:val="5B6272"/>
          <w:sz w:val="18"/>
        </w:rPr>
        <w:t>Figure 4.</w:t>
      </w:r>
      <w:r>
        <w:rPr>
          <w:rFonts w:ascii="Calibri" w:hAnsi="Calibri"/>
          <w:b w:val="0"/>
          <w:i w:val="0"/>
          <w:color w:val="5B6272"/>
          <w:sz w:val="18"/>
        </w:rPr>
        <w:t xml:space="preserve"> Four things go ahead now. Our own hardware, forecasting, other energy systems and carbon credits are sound ideas, but early.</w:t>
      </w:r>
    </w:p>
    <w:p>
      <w:pPr>
        <w:pStyle w:val="ListBullet"/>
      </w:pPr>
      <w:r>
        <w:rPr>
          <w:rFonts w:ascii="Calibri" w:hAnsi="Calibri"/>
          <w:b/>
          <w:i w:val="0"/>
          <w:color w:val="161B26"/>
          <w:sz w:val="21"/>
        </w:rPr>
        <w:t>Record what installers find on call-backs (I01).</w:t>
      </w:r>
      <w:r>
        <w:rPr>
          <w:rFonts w:ascii="Calibri" w:hAnsi="Calibri"/>
          <w:b w:val="0"/>
          <w:i w:val="0"/>
          <w:color w:val="161B26"/>
          <w:sz w:val="21"/>
        </w:rPr>
        <w:t xml:space="preserve"> A two-line note per visit. It makes M01 measurable.</w:t>
      </w:r>
    </w:p>
    <w:p>
      <w:pPr>
        <w:pStyle w:val="ListBullet"/>
      </w:pPr>
      <w:r>
        <w:rPr>
          <w:rFonts w:ascii="Calibri" w:hAnsi="Calibri"/>
          <w:b/>
          <w:i w:val="0"/>
          <w:color w:val="161B26"/>
          <w:sz w:val="21"/>
        </w:rPr>
        <w:t>Measure what solar replaced (I02).</w:t>
      </w:r>
      <w:r>
        <w:rPr>
          <w:rFonts w:ascii="Calibri" w:hAnsi="Calibri"/>
          <w:b w:val="0"/>
          <w:i w:val="0"/>
          <w:color w:val="161B26"/>
          <w:sz w:val="21"/>
        </w:rPr>
        <w:t xml:space="preserve"> The same 1,851 kWh pays back in 5.1 years against the grid or 0.9 years against a petrol generator. CO₂ avoided is 883 kg vs. 3,481 kg. The logger can see when the grid was on.</w:t>
      </w:r>
    </w:p>
    <w:p>
      <w:pPr>
        <w:pStyle w:val="ListBullet"/>
      </w:pPr>
      <w:r>
        <w:rPr>
          <w:rFonts w:ascii="Calibri" w:hAnsi="Calibri"/>
          <w:b/>
          <w:i w:val="0"/>
          <w:color w:val="161B26"/>
          <w:sz w:val="21"/>
        </w:rPr>
        <w:t>Structured replies with a citation check (I03).</w:t>
      </w:r>
      <w:r>
        <w:rPr>
          <w:rFonts w:ascii="Calibri" w:hAnsi="Calibri"/>
          <w:b w:val="0"/>
          <w:i w:val="0"/>
          <w:color w:val="161B26"/>
          <w:sz w:val="21"/>
        </w:rPr>
        <w:t xml:space="preserve"> The clearest measured failure.</w:t>
      </w:r>
    </w:p>
    <w:p>
      <w:pPr>
        <w:pStyle w:val="ListBullet"/>
      </w:pPr>
      <w:r>
        <w:rPr>
          <w:rFonts w:ascii="Calibri" w:hAnsi="Calibri"/>
          <w:b/>
          <w:i w:val="0"/>
          <w:color w:val="161B26"/>
          <w:sz w:val="21"/>
        </w:rPr>
        <w:t>A three-site pilot on data that already exists (I04).</w:t>
      </w:r>
      <w:r>
        <w:rPr>
          <w:rFonts w:ascii="Calibri" w:hAnsi="Calibri"/>
          <w:b w:val="0"/>
          <w:i w:val="0"/>
          <w:color w:val="161B26"/>
          <w:sz w:val="21"/>
        </w:rPr>
        <w:t xml:space="preserve"> Weekly photos of the inverter counter, plus exports where available. No new hardware.</w:t>
      </w:r>
    </w:p>
    <w:p>
      <w:pPr>
        <w:keepNext/>
        <w:spacing w:before="280"/>
      </w:pPr>
      <w:r>
        <w:rPr>
          <w:rFonts w:ascii="Calibri" w:hAnsi="Calibri"/>
          <w:b/>
          <w:i w:val="0"/>
          <w:color w:val="1E2A44"/>
          <w:sz w:val="30"/>
        </w:rPr>
        <w:t>What we will not do yet</w:t>
      </w:r>
    </w:p>
    <w:p>
      <w:pPr>
        <w:pStyle w:val="ListBullet"/>
      </w:pPr>
      <w:r>
        <w:rPr>
          <w:rFonts w:ascii="Calibri" w:hAnsi="Calibri"/>
          <w:b w:val="0"/>
          <w:i w:val="0"/>
          <w:color w:val="161B26"/>
          <w:sz w:val="21"/>
        </w:rPr>
        <w:t>Claim field accuracy, or that the IDL speeds up solar adoption.</w:t>
      </w:r>
    </w:p>
    <w:p>
      <w:pPr>
        <w:pStyle w:val="ListBullet"/>
      </w:pPr>
      <w:r>
        <w:rPr>
          <w:rFonts w:ascii="Calibri" w:hAnsi="Calibri"/>
          <w:b w:val="0"/>
          <w:i w:val="0"/>
          <w:color w:val="161B26"/>
          <w:sz w:val="21"/>
        </w:rPr>
        <w:t>Build our own edge hardware before the existing data routes are tried.</w:t>
      </w:r>
    </w:p>
    <w:p>
      <w:pPr>
        <w:pStyle w:val="ListBullet"/>
      </w:pPr>
      <w:r>
        <w:rPr>
          <w:rFonts w:ascii="Calibri" w:hAnsi="Calibri"/>
          <w:b w:val="0"/>
          <w:i w:val="0"/>
          <w:color w:val="161B26"/>
          <w:sz w:val="21"/>
        </w:rPr>
        <w:t>Let the AI take actions: dispatch, shutdown or ordering. It explains; people decide.</w:t>
      </w:r>
    </w:p>
    <w:p>
      <w:pPr>
        <w:pStyle w:val="ListBullet"/>
      </w:pPr>
      <w:r>
        <w:rPr>
          <w:rFonts w:ascii="Calibri" w:hAnsi="Calibri"/>
          <w:b w:val="0"/>
          <w:i w:val="0"/>
          <w:color w:val="161B26"/>
          <w:sz w:val="21"/>
        </w:rPr>
        <w:t>Publish any site's data, or send personal data to the model.</w:t>
      </w:r>
    </w:p>
    <w:p>
      <w:pPr>
        <w:pStyle w:val="ListBullet"/>
      </w:pPr>
      <w:r>
        <w:rPr>
          <w:rFonts w:ascii="Calibri" w:hAnsi="Calibri"/>
          <w:b w:val="0"/>
          <w:i w:val="0"/>
          <w:color w:val="161B26"/>
          <w:sz w:val="21"/>
        </w:rPr>
        <w:t>Claim carbon credits, or extend to mini-grids, wind or buildings.</w:t>
      </w:r>
    </w:p>
    <w:p>
      <w:pPr>
        <w:keepNext/>
        <w:spacing w:before="280"/>
      </w:pPr>
      <w:r>
        <w:rPr>
          <w:rFonts w:ascii="Calibri" w:hAnsi="Calibri"/>
          <w:b/>
          <w:i w:val="0"/>
          <w:color w:val="1E2A44"/>
          <w:sz w:val="30"/>
        </w:rPr>
        <w:t>Next 90 days</w:t>
      </w:r>
    </w:p>
    <w:p>
      <w:pPr>
        <w:keepNext/>
        <w:jc w:val="center"/>
      </w:pPr>
      <w:r>
        <w:drawing>
          <wp:inline xmlns:a="http://schemas.openxmlformats.org/drawingml/2006/main" xmlns:pic="http://schemas.openxmlformats.org/drawingml/2006/picture">
            <wp:extent cx="5976000" cy="2326043"/>
            <wp:docPr id="5" name="Picture 5"/>
            <wp:cNvGraphicFramePr>
              <a:graphicFrameLocks noChangeAspect="1"/>
            </wp:cNvGraphicFramePr>
            <a:graphic>
              <a:graphicData uri="http://schemas.openxmlformats.org/drawingml/2006/picture">
                <pic:pic>
                  <pic:nvPicPr>
                    <pic:cNvPr id="0" name="plan.png"/>
                    <pic:cNvPicPr/>
                  </pic:nvPicPr>
                  <pic:blipFill>
                    <a:blip r:embed="rId14"/>
                    <a:stretch>
                      <a:fillRect/>
                    </a:stretch>
                  </pic:blipFill>
                  <pic:spPr>
                    <a:xfrm>
                      <a:off x="0" y="0"/>
                      <a:ext cx="5976000" cy="2326043"/>
                    </a:xfrm>
                    <a:prstGeom prst="rect"/>
                  </pic:spPr>
                </pic:pic>
              </a:graphicData>
            </a:graphic>
          </wp:inline>
        </w:drawing>
      </w:r>
    </w:p>
    <w:p>
      <w:pPr>
        <w:spacing w:after="200"/>
      </w:pPr>
      <w:r>
        <w:rPr>
          <w:rFonts w:ascii="Calibri" w:hAnsi="Calibri"/>
          <w:b/>
          <w:i w:val="0"/>
          <w:color w:val="5B6272"/>
          <w:sz w:val="18"/>
        </w:rPr>
        <w:t>Figure 5.</w:t>
      </w:r>
      <w:r>
        <w:rPr>
          <w:rFonts w:ascii="Calibri" w:hAnsi="Calibri"/>
          <w:b w:val="0"/>
          <w:i w:val="0"/>
          <w:color w:val="5B6272"/>
          <w:sz w:val="18"/>
        </w:rPr>
        <w:t xml:space="preserve"> Who does what, and when. NASEF first; the pilot runs in December.</w:t>
      </w:r>
    </w:p>
    <w:tbl>
      <w:tblPr>
        <w:tblW w:type="auto" w:w="0"/>
        <w:tblLook w:firstColumn="1" w:firstRow="1" w:lastColumn="0" w:lastRow="0" w:noHBand="0" w:noVBand="1" w:val="04A0"/>
        <w:tblBorders>
          <w:top w:val="single" w:sz="4" w:color="AEB6C6"/>
          <w:left w:val="single" w:sz="4" w:color="AEB6C6"/>
          <w:bottom w:val="single" w:sz="4" w:color="AEB6C6"/>
          <w:right w:val="single" w:sz="4" w:color="AEB6C6"/>
          <w:insideH w:val="single" w:sz="4" w:color="AEB6C6"/>
          <w:insideV w:val="single" w:sz="4" w:color="AEB6C6"/>
        </w:tblBorders>
      </w:tblPr>
      <w:tblGrid>
        <w:gridCol w:w="2353"/>
        <w:gridCol w:w="2353"/>
        <w:gridCol w:w="2353"/>
        <w:gridCol w:w="2353"/>
      </w:tblGrid>
      <w:tr>
        <w:tc>
          <w:tcPr>
            <w:tcW w:type="dxa" w:w="2353"/>
            <w:shd w:val="clear" w:color="auto" w:fill="1E2A44"/>
          </w:tcPr>
          <w:p>
            <w:r/>
            <w:r>
              <w:rPr>
                <w:rFonts w:ascii="Calibri" w:hAnsi="Calibri"/>
                <w:b/>
                <w:i w:val="0"/>
                <w:color w:val="FFFFFF"/>
                <w:sz w:val="18"/>
              </w:rPr>
              <w:t>Action</w:t>
            </w:r>
          </w:p>
        </w:tc>
        <w:tc>
          <w:tcPr>
            <w:tcW w:type="dxa" w:w="2353"/>
            <w:shd w:val="clear" w:color="auto" w:fill="1E2A44"/>
          </w:tcPr>
          <w:p>
            <w:r/>
            <w:r>
              <w:rPr>
                <w:rFonts w:ascii="Calibri" w:hAnsi="Calibri"/>
                <w:b/>
                <w:i w:val="0"/>
                <w:color w:val="FFFFFF"/>
                <w:sz w:val="18"/>
              </w:rPr>
              <w:t>Owner</w:t>
            </w:r>
          </w:p>
        </w:tc>
        <w:tc>
          <w:tcPr>
            <w:tcW w:type="dxa" w:w="2353"/>
            <w:shd w:val="clear" w:color="auto" w:fill="1E2A44"/>
          </w:tcPr>
          <w:p>
            <w:r/>
            <w:r>
              <w:rPr>
                <w:rFonts w:ascii="Calibri" w:hAnsi="Calibri"/>
                <w:b/>
                <w:i w:val="0"/>
                <w:color w:val="FFFFFF"/>
                <w:sz w:val="18"/>
              </w:rPr>
              <w:t>By</w:t>
            </w:r>
          </w:p>
        </w:tc>
        <w:tc>
          <w:tcPr>
            <w:tcW w:type="dxa" w:w="2353"/>
            <w:shd w:val="clear" w:color="auto" w:fill="1E2A44"/>
          </w:tcPr>
          <w:p>
            <w:r/>
            <w:r>
              <w:rPr>
                <w:rFonts w:ascii="Calibri" w:hAnsi="Calibri"/>
                <w:b/>
                <w:i w:val="0"/>
                <w:color w:val="FFFFFF"/>
                <w:sz w:val="18"/>
              </w:rPr>
              <w:t>How we'll know it worked</w:t>
            </w:r>
          </w:p>
        </w:tc>
      </w:tr>
      <w:tr>
        <w:tc>
          <w:tcPr>
            <w:tcW w:type="dxa" w:w="2353"/>
          </w:tcPr>
          <w:p>
            <w:r/>
            <w:r>
              <w:rPr>
                <w:rFonts w:ascii="Calibri" w:hAnsi="Calibri"/>
                <w:b w:val="0"/>
                <w:i w:val="0"/>
                <w:color w:val="161B26"/>
                <w:sz w:val="18"/>
              </w:rPr>
              <w:t>Present the methodology at NASEF</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21 Oct</w:t>
            </w:r>
          </w:p>
        </w:tc>
        <w:tc>
          <w:tcPr>
            <w:tcW w:type="dxa" w:w="2353"/>
          </w:tcPr>
          <w:p>
            <w:r/>
            <w:r>
              <w:rPr>
                <w:rFonts w:ascii="Calibri" w:hAnsi="Calibri"/>
                <w:b w:val="0"/>
                <w:i w:val="0"/>
                <w:color w:val="161B26"/>
                <w:sz w:val="18"/>
              </w:rPr>
              <w:t>Questions recorded; at least one contact for a pilot site</w:t>
            </w:r>
          </w:p>
        </w:tc>
      </w:tr>
      <w:tr>
        <w:tc>
          <w:tcPr>
            <w:tcW w:type="dxa" w:w="2353"/>
          </w:tcPr>
          <w:p>
            <w:r/>
            <w:r>
              <w:rPr>
                <w:rFonts w:ascii="Calibri" w:hAnsi="Calibri"/>
                <w:b w:val="0"/>
                <w:i w:val="0"/>
                <w:color w:val="161B26"/>
                <w:sz w:val="18"/>
              </w:rPr>
              <w:t>Send the installer question pack</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31 Oct</w:t>
            </w:r>
          </w:p>
        </w:tc>
        <w:tc>
          <w:tcPr>
            <w:tcW w:type="dxa" w:w="2353"/>
          </w:tcPr>
          <w:p>
            <w:r/>
            <w:r>
              <w:rPr>
                <w:rFonts w:ascii="Calibri" w:hAnsi="Calibri"/>
                <w:b w:val="0"/>
                <w:i w:val="0"/>
                <w:color w:val="161B26"/>
                <w:sz w:val="18"/>
              </w:rPr>
              <w:t>M07: answers from at least 5 installers</w:t>
            </w:r>
          </w:p>
        </w:tc>
      </w:tr>
      <w:tr>
        <w:tc>
          <w:tcPr>
            <w:tcW w:type="dxa" w:w="2353"/>
          </w:tcPr>
          <w:p>
            <w:r/>
            <w:r>
              <w:rPr>
                <w:rFonts w:ascii="Calibri" w:hAnsi="Calibri"/>
                <w:b w:val="0"/>
                <w:i w:val="0"/>
                <w:color w:val="161B26"/>
                <w:sz w:val="18"/>
              </w:rPr>
              <w:t>Fix the ROI and carbon counterfactual; use the 0.477 grid factor</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15 Nov</w:t>
            </w:r>
          </w:p>
        </w:tc>
        <w:tc>
          <w:tcPr>
            <w:tcW w:type="dxa" w:w="2353"/>
          </w:tcPr>
          <w:p>
            <w:r/>
            <w:r>
              <w:rPr>
                <w:rFonts w:ascii="Calibri" w:hAnsi="Calibri"/>
                <w:b w:val="0"/>
                <w:i w:val="0"/>
                <w:color w:val="161B26"/>
                <w:sz w:val="18"/>
              </w:rPr>
              <w:t>The O2 statement shows the grid and generator split</w:t>
            </w:r>
          </w:p>
        </w:tc>
      </w:tr>
      <w:tr>
        <w:tc>
          <w:tcPr>
            <w:tcW w:type="dxa" w:w="2353"/>
          </w:tcPr>
          <w:p>
            <w:r/>
            <w:r>
              <w:rPr>
                <w:rFonts w:ascii="Calibri" w:hAnsi="Calibri"/>
                <w:b w:val="0"/>
                <w:i w:val="0"/>
                <w:color w:val="161B26"/>
                <w:sz w:val="18"/>
              </w:rPr>
              <w:t>Structured final replies plus a citation check</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30 Nov</w:t>
            </w:r>
          </w:p>
        </w:tc>
        <w:tc>
          <w:tcPr>
            <w:tcW w:type="dxa" w:w="2353"/>
          </w:tcPr>
          <w:p>
            <w:r/>
            <w:r>
              <w:rPr>
                <w:rFonts w:ascii="Calibri" w:hAnsi="Calibri"/>
                <w:b w:val="0"/>
                <w:i w:val="0"/>
                <w:color w:val="161B26"/>
                <w:sz w:val="18"/>
              </w:rPr>
              <w:t>M04 above 22 of 24 on the pilot set</w:t>
            </w:r>
          </w:p>
        </w:tc>
      </w:tr>
      <w:tr>
        <w:tc>
          <w:tcPr>
            <w:tcW w:type="dxa" w:w="2353"/>
          </w:tcPr>
          <w:p>
            <w:r/>
            <w:r>
              <w:rPr>
                <w:rFonts w:ascii="Calibri" w:hAnsi="Calibri"/>
                <w:b w:val="0"/>
                <w:i w:val="0"/>
                <w:color w:val="161B26"/>
                <w:sz w:val="18"/>
              </w:rPr>
              <w:t>Agree M01, consent terms, and whether Suny readings can be used</w:t>
            </w:r>
          </w:p>
        </w:tc>
        <w:tc>
          <w:tcPr>
            <w:tcW w:type="dxa" w:w="2353"/>
          </w:tcPr>
          <w:p>
            <w:r/>
            <w:r>
              <w:rPr>
                <w:rFonts w:ascii="Calibri" w:hAnsi="Calibri"/>
                <w:b w:val="0"/>
                <w:i w:val="0"/>
                <w:color w:val="161B26"/>
                <w:sz w:val="18"/>
              </w:rPr>
              <w:t>Fitzroy</w:t>
            </w:r>
          </w:p>
        </w:tc>
        <w:tc>
          <w:tcPr>
            <w:tcW w:type="dxa" w:w="2353"/>
          </w:tcPr>
          <w:p>
            <w:r/>
            <w:r>
              <w:rPr>
                <w:rFonts w:ascii="Calibri" w:hAnsi="Calibri"/>
                <w:b w:val="0"/>
                <w:i w:val="0"/>
                <w:color w:val="161B26"/>
                <w:sz w:val="18"/>
              </w:rPr>
              <w:t>15 Nov</w:t>
            </w:r>
          </w:p>
        </w:tc>
        <w:tc>
          <w:tcPr>
            <w:tcW w:type="dxa" w:w="2353"/>
          </w:tcPr>
          <w:p>
            <w:r/>
            <w:r>
              <w:rPr>
                <w:rFonts w:ascii="Calibri" w:hAnsi="Calibri"/>
                <w:b w:val="0"/>
                <w:i w:val="0"/>
                <w:color w:val="161B26"/>
                <w:sz w:val="18"/>
              </w:rPr>
              <w:t>A signed one-page consent note</w:t>
            </w:r>
          </w:p>
        </w:tc>
      </w:tr>
      <w:tr>
        <w:tc>
          <w:tcPr>
            <w:tcW w:type="dxa" w:w="2353"/>
          </w:tcPr>
          <w:p>
            <w:r/>
            <w:r>
              <w:rPr>
                <w:rFonts w:ascii="Calibri" w:hAnsi="Calibri"/>
                <w:b w:val="0"/>
                <w:i w:val="0"/>
                <w:color w:val="161B26"/>
                <w:sz w:val="18"/>
              </w:rPr>
              <w:t>Pilot month 1 at 3 sites</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31 Dec</w:t>
            </w:r>
          </w:p>
        </w:tc>
        <w:tc>
          <w:tcPr>
            <w:tcW w:type="dxa" w:w="2353"/>
          </w:tcPr>
          <w:p>
            <w:r/>
            <w:r>
              <w:rPr>
                <w:rFonts w:ascii="Calibri" w:hAnsi="Calibri"/>
                <w:b w:val="0"/>
                <w:i w:val="0"/>
                <w:color w:val="161B26"/>
                <w:sz w:val="18"/>
              </w:rPr>
              <w:t>M02: 2 of 3 sites with 28+ days</w:t>
            </w:r>
          </w:p>
        </w:tc>
      </w:tr>
      <w:tr>
        <w:tc>
          <w:tcPr>
            <w:tcW w:type="dxa" w:w="2353"/>
          </w:tcPr>
          <w:p>
            <w:r/>
            <w:r>
              <w:rPr>
                <w:rFonts w:ascii="Calibri" w:hAnsi="Calibri"/>
                <w:b w:val="0"/>
                <w:i w:val="0"/>
                <w:color w:val="161B26"/>
                <w:sz w:val="18"/>
              </w:rPr>
              <w:t>First field check</w:t>
            </w:r>
          </w:p>
        </w:tc>
        <w:tc>
          <w:tcPr>
            <w:tcW w:type="dxa" w:w="2353"/>
          </w:tcPr>
          <w:p>
            <w:r/>
            <w:r>
              <w:rPr>
                <w:rFonts w:ascii="Calibri" w:hAnsi="Calibri"/>
                <w:b w:val="0"/>
                <w:i w:val="0"/>
                <w:color w:val="161B26"/>
                <w:sz w:val="18"/>
              </w:rPr>
              <w:t>Daniel</w:t>
            </w:r>
          </w:p>
        </w:tc>
        <w:tc>
          <w:tcPr>
            <w:tcW w:type="dxa" w:w="2353"/>
          </w:tcPr>
          <w:p>
            <w:r/>
            <w:r>
              <w:rPr>
                <w:rFonts w:ascii="Calibri" w:hAnsi="Calibri"/>
                <w:b w:val="0"/>
                <w:i w:val="0"/>
                <w:color w:val="161B26"/>
                <w:sz w:val="18"/>
              </w:rPr>
              <w:t>31 Jan</w:t>
            </w:r>
          </w:p>
        </w:tc>
        <w:tc>
          <w:tcPr>
            <w:tcW w:type="dxa" w:w="2353"/>
          </w:tcPr>
          <w:p>
            <w:r/>
            <w:r>
              <w:rPr>
                <w:rFonts w:ascii="Calibri" w:hAnsi="Calibri"/>
                <w:b w:val="0"/>
                <w:i w:val="0"/>
                <w:color w:val="161B26"/>
                <w:sz w:val="18"/>
              </w:rPr>
              <w:t>M01 counts reported, with n</w:t>
            </w:r>
          </w:p>
        </w:tc>
      </w:tr>
      <w:tr>
        <w:tc>
          <w:tcPr>
            <w:tcW w:type="dxa" w:w="2353"/>
          </w:tcPr>
          <w:p>
            <w:r/>
            <w:r>
              <w:rPr>
                <w:rFonts w:ascii="Calibri" w:hAnsi="Calibri"/>
                <w:b w:val="0"/>
                <w:i w:val="0"/>
                <w:color w:val="161B26"/>
                <w:sz w:val="18"/>
              </w:rPr>
              <w:t>Teach the Blueprint with this case</w:t>
            </w:r>
          </w:p>
        </w:tc>
        <w:tc>
          <w:tcPr>
            <w:tcW w:type="dxa" w:w="2353"/>
          </w:tcPr>
          <w:p>
            <w:r/>
            <w:r>
              <w:rPr>
                <w:rFonts w:ascii="Calibri" w:hAnsi="Calibri"/>
                <w:b w:val="0"/>
                <w:i w:val="0"/>
                <w:color w:val="161B26"/>
                <w:sz w:val="18"/>
              </w:rPr>
              <w:t>Fitzroy and Daniel</w:t>
            </w:r>
          </w:p>
        </w:tc>
        <w:tc>
          <w:tcPr>
            <w:tcW w:type="dxa" w:w="2353"/>
          </w:tcPr>
          <w:p>
            <w:r/>
            <w:r>
              <w:rPr>
                <w:rFonts w:ascii="Calibri" w:hAnsi="Calibri"/>
                <w:b w:val="0"/>
                <w:i w:val="0"/>
                <w:color w:val="161B26"/>
                <w:sz w:val="18"/>
              </w:rPr>
              <w:t>Jan</w:t>
            </w:r>
          </w:p>
        </w:tc>
        <w:tc>
          <w:tcPr>
            <w:tcW w:type="dxa" w:w="2353"/>
          </w:tcPr>
          <w:p>
            <w:r/>
            <w:r>
              <w:rPr>
                <w:rFonts w:ascii="Calibri" w:hAnsi="Calibri"/>
                <w:b w:val="0"/>
                <w:i w:val="0"/>
                <w:color w:val="161B26"/>
                <w:sz w:val="18"/>
              </w:rPr>
              <w:t>The first workshop runs</w:t>
            </w:r>
          </w:p>
        </w:tc>
      </w:tr>
    </w:tbl>
    <w:p/>
    <w:p>
      <w:pPr>
        <w:keepNext/>
        <w:spacing w:before="280"/>
      </w:pPr>
      <w:r>
        <w:rPr>
          <w:rFonts w:ascii="Calibri" w:hAnsi="Calibri"/>
          <w:b/>
          <w:i w:val="0"/>
          <w:color w:val="1E2A44"/>
          <w:sz w:val="30"/>
        </w:rPr>
        <w:t>Open questions</w:t>
      </w:r>
    </w:p>
    <w:tbl>
      <w:tblPr>
        <w:tblW w:type="auto" w:w="0"/>
        <w:tblLook w:firstColumn="1" w:firstRow="1" w:lastColumn="0" w:lastRow="0" w:noHBand="0" w:noVBand="1" w:val="04A0"/>
        <w:tblBorders>
          <w:top w:val="single" w:sz="4" w:color="AEB6C6"/>
          <w:left w:val="single" w:sz="4" w:color="AEB6C6"/>
          <w:bottom w:val="single" w:sz="4" w:color="AEB6C6"/>
          <w:right w:val="single" w:sz="4" w:color="AEB6C6"/>
          <w:insideH w:val="single" w:sz="4" w:color="AEB6C6"/>
          <w:insideV w:val="single" w:sz="4" w:color="AEB6C6"/>
        </w:tblBorders>
      </w:tblPr>
      <w:tblGrid>
        <w:gridCol w:w="4706"/>
        <w:gridCol w:w="4706"/>
      </w:tblGrid>
      <w:tr>
        <w:tc>
          <w:tcPr>
            <w:tcW w:type="dxa" w:w="4706"/>
            <w:shd w:val="clear" w:color="auto" w:fill="1E2A44"/>
          </w:tcPr>
          <w:p>
            <w:r/>
            <w:r>
              <w:rPr>
                <w:rFonts w:ascii="Calibri" w:hAnsi="Calibri"/>
                <w:b/>
                <w:i w:val="0"/>
                <w:color w:val="FFFFFF"/>
                <w:sz w:val="18"/>
              </w:rPr>
              <w:t>Question</w:t>
            </w:r>
          </w:p>
        </w:tc>
        <w:tc>
          <w:tcPr>
            <w:tcW w:type="dxa" w:w="4706"/>
            <w:shd w:val="clear" w:color="auto" w:fill="1E2A44"/>
          </w:tcPr>
          <w:p>
            <w:r/>
            <w:r>
              <w:rPr>
                <w:rFonts w:ascii="Calibri" w:hAnsi="Calibri"/>
                <w:b/>
                <w:i w:val="0"/>
                <w:color w:val="FFFFFF"/>
                <w:sz w:val="18"/>
              </w:rPr>
              <w:t>Who</w:t>
            </w:r>
          </w:p>
        </w:tc>
      </w:tr>
      <w:tr>
        <w:tc>
          <w:tcPr>
            <w:tcW w:type="dxa" w:w="4706"/>
          </w:tcPr>
          <w:p>
            <w:r/>
            <w:r>
              <w:rPr>
                <w:rFonts w:ascii="Calibri" w:hAnsi="Calibri"/>
                <w:b w:val="0"/>
                <w:i w:val="0"/>
                <w:color w:val="161B26"/>
                <w:sz w:val="18"/>
              </w:rPr>
              <w:t>Talk length and any organiser template</w:t>
            </w:r>
          </w:p>
        </w:tc>
        <w:tc>
          <w:tcPr>
            <w:tcW w:type="dxa" w:w="4706"/>
          </w:tcPr>
          <w:p>
            <w:r/>
            <w:r>
              <w:rPr>
                <w:rFonts w:ascii="Calibri" w:hAnsi="Calibri"/>
                <w:b w:val="0"/>
                <w:i w:val="0"/>
                <w:color w:val="161B26"/>
                <w:sz w:val="18"/>
              </w:rPr>
              <w:t>Daniel</w:t>
            </w:r>
          </w:p>
        </w:tc>
      </w:tr>
      <w:tr>
        <w:tc>
          <w:tcPr>
            <w:tcW w:type="dxa" w:w="4706"/>
          </w:tcPr>
          <w:p>
            <w:r/>
            <w:r>
              <w:rPr>
                <w:rFonts w:ascii="Calibri" w:hAnsi="Calibri"/>
                <w:b w:val="0"/>
                <w:i w:val="0"/>
                <w:color w:val="161B26"/>
                <w:sz w:val="18"/>
              </w:rPr>
              <w:t>The radio-station story: may we tell it, unnamed, with a few numbers?</w:t>
            </w:r>
          </w:p>
        </w:tc>
        <w:tc>
          <w:tcPr>
            <w:tcW w:type="dxa" w:w="4706"/>
          </w:tcPr>
          <w:p>
            <w:r/>
            <w:r>
              <w:rPr>
                <w:rFonts w:ascii="Calibri" w:hAnsi="Calibri"/>
                <w:b w:val="0"/>
                <w:i w:val="0"/>
                <w:color w:val="161B26"/>
                <w:sz w:val="18"/>
              </w:rPr>
              <w:t>Daniel</w:t>
            </w:r>
          </w:p>
        </w:tc>
      </w:tr>
      <w:tr>
        <w:tc>
          <w:tcPr>
            <w:tcW w:type="dxa" w:w="4706"/>
          </w:tcPr>
          <w:p>
            <w:r/>
            <w:r>
              <w:rPr>
                <w:rFonts w:ascii="Calibri" w:hAnsi="Calibri"/>
                <w:b w:val="0"/>
                <w:i w:val="0"/>
                <w:color w:val="161B26"/>
                <w:sz w:val="18"/>
              </w:rPr>
              <w:t>Which survey item showed low maintenance habits, and how many of how many said so?</w:t>
            </w:r>
          </w:p>
        </w:tc>
        <w:tc>
          <w:tcPr>
            <w:tcW w:type="dxa" w:w="4706"/>
          </w:tcPr>
          <w:p>
            <w:r/>
            <w:r>
              <w:rPr>
                <w:rFonts w:ascii="Calibri" w:hAnsi="Calibri"/>
                <w:b w:val="0"/>
                <w:i w:val="0"/>
                <w:color w:val="161B26"/>
                <w:sz w:val="18"/>
              </w:rPr>
              <w:t>Daniel</w:t>
            </w:r>
          </w:p>
        </w:tc>
      </w:tr>
      <w:tr>
        <w:tc>
          <w:tcPr>
            <w:tcW w:type="dxa" w:w="4706"/>
          </w:tcPr>
          <w:p>
            <w:r/>
            <w:r>
              <w:rPr>
                <w:rFonts w:ascii="Calibri" w:hAnsi="Calibri"/>
                <w:b w:val="0"/>
                <w:i w:val="0"/>
                <w:color w:val="161B26"/>
                <w:sz w:val="18"/>
              </w:rPr>
              <w:t>Is "Datalodger" a product, a partner or an earlier name?</w:t>
            </w:r>
          </w:p>
        </w:tc>
        <w:tc>
          <w:tcPr>
            <w:tcW w:type="dxa" w:w="4706"/>
          </w:tcPr>
          <w:p>
            <w:r/>
            <w:r>
              <w:rPr>
                <w:rFonts w:ascii="Calibri" w:hAnsi="Calibri"/>
                <w:b w:val="0"/>
                <w:i w:val="0"/>
                <w:color w:val="161B26"/>
                <w:sz w:val="18"/>
              </w:rPr>
              <w:t>Daniel, Fitzroy</w:t>
            </w:r>
          </w:p>
        </w:tc>
      </w:tr>
      <w:tr>
        <w:tc>
          <w:tcPr>
            <w:tcW w:type="dxa" w:w="4706"/>
          </w:tcPr>
          <w:p>
            <w:r/>
            <w:r>
              <w:rPr>
                <w:rFonts w:ascii="Calibri" w:hAnsi="Calibri"/>
                <w:b w:val="0"/>
                <w:i w:val="0"/>
                <w:color w:val="161B26"/>
                <w:sz w:val="18"/>
              </w:rPr>
              <w:t>Consent and data rights under the NDPA 2023</w:t>
            </w:r>
          </w:p>
        </w:tc>
        <w:tc>
          <w:tcPr>
            <w:tcW w:type="dxa" w:w="4706"/>
          </w:tcPr>
          <w:p>
            <w:r/>
            <w:r>
              <w:rPr>
                <w:rFonts w:ascii="Calibri" w:hAnsi="Calibri"/>
                <w:b w:val="0"/>
                <w:i w:val="0"/>
                <w:color w:val="161B26"/>
                <w:sz w:val="18"/>
              </w:rPr>
              <w:t>Fitzroy</w:t>
            </w:r>
          </w:p>
        </w:tc>
      </w:tr>
      <w:tr>
        <w:tc>
          <w:tcPr>
            <w:tcW w:type="dxa" w:w="4706"/>
          </w:tcPr>
          <w:p>
            <w:r/>
            <w:r>
              <w:rPr>
                <w:rFonts w:ascii="Calibri" w:hAnsi="Calibri"/>
                <w:b w:val="0"/>
                <w:i w:val="0"/>
                <w:color w:val="161B26"/>
                <w:sz w:val="18"/>
              </w:rPr>
              <w:t>Which installers will host, and which inverters do their customers have?</w:t>
            </w:r>
          </w:p>
        </w:tc>
        <w:tc>
          <w:tcPr>
            <w:tcW w:type="dxa" w:w="4706"/>
          </w:tcPr>
          <w:p>
            <w:r/>
            <w:r>
              <w:rPr>
                <w:rFonts w:ascii="Calibri" w:hAnsi="Calibri"/>
                <w:b w:val="0"/>
                <w:i w:val="0"/>
                <w:color w:val="161B26"/>
                <w:sz w:val="18"/>
              </w:rPr>
              <w:t>Installers</w:t>
            </w:r>
          </w:p>
        </w:tc>
      </w:tr>
    </w:tbl>
    <w:p/>
    <w:p>
      <w:pPr>
        <w:spacing w:after="120"/>
      </w:pPr>
      <w:r>
        <w:rPr>
          <w:rFonts w:ascii="Calibri" w:hAnsi="Calibri"/>
          <w:b w:val="0"/>
          <w:i/>
          <w:color w:val="161B26"/>
          <w:sz w:val="21"/>
        </w:rPr>
        <w:t>Prepared with the Petgrave.io™ Data Strategy Blueprint. Working files: `docs/data-strategy/` (stage files, evidence register, questions, links). All IDL results are synthetic unless stated; small samples are reported as counts.</w:t>
      </w:r>
    </w:p>
    <w:sectPr w:rsidR="00FC693F" w:rsidRPr="0006063C" w:rsidSect="00034616">
      <w:head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272"/>
        <w:sz w:val="16"/>
      </w:rPr>
      <w:t>Intelligent Data Logger · Data strategy · Petgrave.io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