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sz w:val="26"/>
          <w:szCs w:val="26"/>
        </w:rPr>
        <w:t xml:space="preserve">YABA COLLEGE OF TECHNOLOGY, YABA</w:t>
      </w:r>
    </w:p>
    <w:p>
      <w:pPr>
        <w:spacing w:after="80"/>
        <w:jc w:val="center"/>
      </w:pPr>
      <w:r>
        <w:rPr>
          <w:rFonts w:ascii="Arial" w:cs="Arial" w:eastAsia="Arial" w:hAnsi="Arial"/>
          <w:b/>
          <w:bCs/>
          <w:color w:val="333333"/>
          <w:sz w:val="22"/>
          <w:szCs w:val="22"/>
        </w:rPr>
        <w:t xml:space="preserve">SCHOOL OF TECHNOLOGY</w:t>
      </w:r>
    </w:p>
    <w:p>
      <w:pPr>
        <w:spacing w:after="1200"/>
        <w:jc w:val="center"/>
      </w:pPr>
      <w:r>
        <w:rPr>
          <w:rFonts w:ascii="Arial" w:cs="Arial" w:eastAsia="Arial" w:hAnsi="Arial"/>
          <w:b/>
          <w:bCs/>
          <w:color w:val="333333"/>
          <w:sz w:val="22"/>
          <w:szCs w:val="22"/>
        </w:rPr>
        <w:t xml:space="preserve">DEPARTMENT OF COMPUTER SCIENCE</w:t>
      </w:r>
    </w:p>
    <w:p>
      <w:pPr>
        <w:spacing w:after="200"/>
        <w:jc w:val="center"/>
      </w:pPr>
      <w:r>
        <w:rPr>
          <w:rFonts w:ascii="Arial" w:cs="Arial" w:eastAsia="Arial" w:hAnsi="Arial"/>
          <w:b/>
          <w:bCs/>
          <w:sz w:val="36"/>
          <w:szCs w:val="36"/>
        </w:rPr>
        <w:t xml:space="preserve">HOW YOUNG AFRICANS CAN BUILD GLOBAL TECH SOLUTIONS</w:t>
      </w:r>
    </w:p>
    <w:p>
      <w:pPr>
        <w:spacing w:after="1200"/>
        <w:jc w:val="center"/>
      </w:pPr>
      <w:r>
        <w:rPr>
          <w:rFonts w:ascii="Arial" w:cs="Arial" w:eastAsia="Arial" w:hAnsi="Arial"/>
          <w:b/>
          <w:bCs/>
          <w:sz w:val="24"/>
          <w:szCs w:val="24"/>
        </w:rPr>
        <w:t xml:space="preserve">A SEMINAR REPORT</w:t>
      </w:r>
    </w:p>
    <w:p>
      <w:pPr>
        <w:spacing w:after="80"/>
        <w:jc w:val="center"/>
      </w:pPr>
      <w:r>
        <w:rPr>
          <w:rFonts w:ascii="Arial" w:cs="Arial" w:eastAsia="Arial" w:hAnsi="Arial"/>
          <w:b/>
          <w:bCs/>
          <w:color w:val="555555"/>
          <w:sz w:val="20"/>
          <w:szCs w:val="20"/>
        </w:rPr>
        <w:t xml:space="preserve">PRESENTED TO</w:t>
      </w:r>
    </w:p>
    <w:p>
      <w:pPr>
        <w:spacing w:after="80"/>
        <w:jc w:val="center"/>
      </w:pPr>
      <w:r>
        <w:rPr>
          <w:rFonts w:ascii="Arial" w:cs="Arial" w:eastAsia="Arial" w:hAnsi="Arial"/>
          <w:b/>
          <w:bCs/>
          <w:color w:val="333333"/>
          <w:sz w:val="22"/>
          <w:szCs w:val="22"/>
        </w:rPr>
        <w:t xml:space="preserve">THE DEPARTMENT OF COMPUTER SCIENCE</w:t>
      </w:r>
    </w:p>
    <w:p>
      <w:pPr>
        <w:spacing w:after="80"/>
        <w:jc w:val="center"/>
      </w:pPr>
      <w:r>
        <w:rPr>
          <w:rFonts w:ascii="Arial" w:cs="Arial" w:eastAsia="Arial" w:hAnsi="Arial"/>
          <w:b/>
          <w:bCs/>
          <w:color w:val="333333"/>
          <w:sz w:val="22"/>
          <w:szCs w:val="22"/>
        </w:rPr>
        <w:t xml:space="preserve">SCHOOL OF TECHNOLOGY</w:t>
      </w:r>
    </w:p>
    <w:p>
      <w:pPr>
        <w:spacing w:after="1200"/>
        <w:jc w:val="center"/>
      </w:pPr>
      <w:r>
        <w:rPr>
          <w:rFonts w:ascii="Arial" w:cs="Arial" w:eastAsia="Arial" w:hAnsi="Arial"/>
          <w:b/>
          <w:bCs/>
          <w:sz w:val="24"/>
          <w:szCs w:val="24"/>
        </w:rPr>
        <w:t xml:space="preserve">YABA COLLEGE OF TECHNOLOGY, YABA.</w:t>
      </w:r>
    </w:p>
    <w:p>
      <w:pPr>
        <w:spacing w:after="80"/>
        <w:jc w:val="center"/>
      </w:pPr>
      <w:r>
        <w:rPr>
          <w:rFonts w:ascii="Arial" w:cs="Arial" w:eastAsia="Arial" w:hAnsi="Arial"/>
          <w:b/>
          <w:bCs/>
          <w:color w:val="555555"/>
          <w:sz w:val="20"/>
          <w:szCs w:val="20"/>
        </w:rPr>
        <w:t xml:space="preserve">BY</w:t>
      </w:r>
    </w:p>
    <w:p>
      <w:pPr>
        <w:spacing w:after="80"/>
        <w:jc w:val="center"/>
      </w:pPr>
      <w:r>
        <w:rPr>
          <w:rFonts w:ascii="Arial" w:cs="Arial" w:eastAsia="Arial" w:hAnsi="Arial"/>
          <w:b/>
          <w:bCs/>
          <w:sz w:val="26"/>
          <w:szCs w:val="26"/>
        </w:rPr>
        <w:t xml:space="preserve">OLABANJI OWOOLUWA SAMSON</w:t>
      </w:r>
    </w:p>
    <w:p>
      <w:pPr>
        <w:spacing w:after="1200"/>
        <w:jc w:val="center"/>
      </w:pPr>
      <w:r>
        <w:rPr>
          <w:rFonts w:ascii="Arial" w:cs="Arial" w:eastAsia="Arial" w:hAnsi="Arial"/>
          <w:b/>
          <w:bCs/>
          <w:sz w:val="22"/>
          <w:szCs w:val="22"/>
        </w:rPr>
        <w:t xml:space="preserve">F/HD/24/3410036</w:t>
      </w:r>
    </w:p>
    <w:p>
      <w:pPr>
        <w:spacing w:after="1200"/>
        <w:jc w:val="center"/>
      </w:pPr>
      <w:r>
        <w:rPr>
          <w:rFonts w:ascii="Arial" w:cs="Arial" w:eastAsia="Arial" w:hAnsi="Arial"/>
          <w:b/>
          <w:bCs/>
          <w:sz w:val="20"/>
          <w:szCs w:val="20"/>
        </w:rPr>
        <w:t xml:space="preserve">A SEMINAR REPORT SUBMITTED IN PARTIAL FULFILMENT OF THE REQUIREMENTS FOR THE AWARD OF THE HIGHER NATIONAL DIPLOMA (HND) IN COMPUTER SCIENCE</w:t>
      </w:r>
    </w:p>
    <w:p>
      <w:pPr>
        <w:spacing w:after="200"/>
        <w:jc w:val="center"/>
      </w:pPr>
      <w:r>
        <w:rPr>
          <w:rFonts w:ascii="Arial" w:cs="Arial" w:eastAsia="Arial" w:hAnsi="Arial"/>
          <w:b/>
          <w:bCs/>
          <w:color w:val="555555"/>
          <w:sz w:val="20"/>
          <w:szCs w:val="20"/>
        </w:rPr>
        <w:t xml:space="preserve">SUPERVISED BY</w:t>
      </w:r>
    </w:p>
    <w:p>
      <w:pPr>
        <w:spacing w:after="1200"/>
        <w:jc w:val="center"/>
      </w:pPr>
      <w:r>
        <w:rPr>
          <w:rFonts w:ascii="Arial" w:cs="Arial" w:eastAsia="Arial" w:hAnsi="Arial"/>
          <w:b/>
          <w:bCs/>
          <w:sz w:val="24"/>
          <w:szCs w:val="24"/>
        </w:rPr>
        <w:t xml:space="preserve">DR. OLALEKAN BELLO</w:t>
      </w:r>
    </w:p>
    <w:p>
      <w:pPr>
        <w:jc w:val="center"/>
      </w:pPr>
      <w:r>
        <w:rPr>
          <w:rFonts w:ascii="Arial" w:cs="Arial" w:eastAsia="Arial" w:hAnsi="Arial"/>
          <w:b/>
          <w:bCs/>
          <w:sz w:val="24"/>
          <w:szCs w:val="24"/>
        </w:rPr>
        <w:t xml:space="preserve">2025/2026</w:t>
      </w:r>
    </w:p>
    <w:p>
      <w:r>
        <w:br w:type="page"/>
      </w:r>
    </w:p>
    <w:p>
      <w:pPr>
        <w:pStyle w:val="Heading1"/>
        <w:spacing w:after="200" w:before="200"/>
      </w:pPr>
      <w:r>
        <w:rPr>
          <w:rFonts w:ascii="Arial" w:cs="Arial" w:eastAsia="Arial" w:hAnsi="Arial"/>
          <w:b/>
          <w:bCs/>
        </w:rPr>
        <w:t xml:space="preserve">ABSTRACT</w:t>
      </w:r>
    </w:p>
    <w:p>
      <w:pPr>
        <w:spacing w:after="240" w:line="360"/>
      </w:pPr>
      <w:r>
        <w:rPr>
          <w:rFonts w:ascii="Arial" w:cs="Arial" w:eastAsia="Arial" w:hAnsi="Arial"/>
        </w:rPr>
        <w:t xml:space="preserve">This seminar report explores the strategic frameworks, ecosystems, and talent development pipelines required for young African technologists to build software solutions that scale globally. By examining the current landscape of tech hubs in Lagos, Nairobi, and Cape Town, and highlighting structural barriers such as infrastructure deficit and funding limitations, the report outlines an actionable path forward. Through case studies of global successes like Flutterwave and Paystack, we identify key scalability principles, cloud engineering patterns, and localization-to-globalization strategies. Finally, we propose a strategic collaboration model involving academic institutions like Yaba College of Technology, startup hubs, and government agencies to cultivate a world-class developer ecosystem capable of positioning Africa as a global exporter of technology.</w:t>
      </w:r>
    </w:p>
    <w:p>
      <w:r>
        <w:br w:type="page"/>
      </w:r>
    </w:p>
    <w:p>
      <w:pPr>
        <w:pStyle w:val="Heading1"/>
        <w:spacing w:after="180" w:before="360"/>
      </w:pPr>
      <w:r>
        <w:rPr>
          <w:rFonts w:ascii="Arial" w:cs="Arial" w:eastAsia="Arial" w:hAnsi="Arial"/>
          <w:b/>
          <w:bCs/>
        </w:rPr>
        <w:t xml:space="preserve">1. INTRODUCTION</w:t>
      </w:r>
    </w:p>
    <w:p>
      <w:pPr>
        <w:spacing w:after="200" w:line="360"/>
      </w:pPr>
      <w:r>
        <w:rPr>
          <w:rFonts w:ascii="Arial" w:cs="Arial" w:eastAsia="Arial" w:hAnsi="Arial"/>
        </w:rPr>
        <w:t xml:space="preserve">This seminar report explores the strategic frameworks, ecosystems, and talent development pipelines required for young African technologists to build software solutions that scale globally. By examining the current landscape of tech hubs in Lagos, Nairobi, and Cape Town, and highlighting structural barriers such as infrastructure deficit and funding limitations, the report outlines an actionable path forward. Through case studies of global successes like Flutterwave and Paystack, we identify key scalability principles, cloud engineering patterns, and localization-to-globalization strategies. Finally, we propose a strategic collaboration model involving academic institutions like Yaba College of Technology, startup hubs, and government agencies to cultivate a world-class developer ecosystem capable of positioning Africa as a global exporter of technology.</w:t>
      </w:r>
    </w:p>
    <w:p>
      <w:r>
        <w:br w:type="page"/>
      </w:r>
    </w:p>
    <w:p>
      <w:pPr>
        <w:pStyle w:val="Heading1"/>
        <w:spacing w:after="180" w:before="360"/>
      </w:pPr>
      <w:r>
        <w:rPr>
          <w:rFonts w:ascii="Arial" w:cs="Arial" w:eastAsia="Arial" w:hAnsi="Arial"/>
          <w:b/>
          <w:bCs/>
        </w:rPr>
        <w:t xml:space="preserve">2. REVIEW OF STRATEGIC FRAMEWORKS FOR GLOBAL TECH SOLUTIONS</w:t>
      </w:r>
    </w:p>
    <w:p>
      <w:pPr>
        <w:pStyle w:val="Heading2"/>
        <w:spacing w:after="120" w:before="240"/>
      </w:pPr>
      <w:r>
        <w:rPr>
          <w:rFonts w:ascii="Arial" w:cs="Arial" w:eastAsia="Arial" w:hAnsi="Arial"/>
          <w:b/>
          <w:bCs/>
        </w:rPr>
        <w:t xml:space="preserve">2.1 Ecosystem Landscape of African Tech Hubs</w:t>
      </w:r>
    </w:p>
    <w:p>
      <w:pPr>
        <w:pStyle w:val="Heading2"/>
        <w:spacing w:after="120" w:before="240"/>
      </w:pPr>
      <w:r>
        <w:rPr>
          <w:rFonts w:ascii="Arial" w:cs="Arial" w:eastAsia="Arial" w:hAnsi="Arial"/>
          <w:b/>
          <w:bCs/>
        </w:rPr>
        <w:t xml:space="preserve">Chapter 1: Introduction &amp; Contextual Background</w:t>
      </w:r>
    </w:p>
    <w:p>
      <w:pPr>
        <w:spacing w:after="200" w:line="360"/>
      </w:pPr>
      <w:r>
        <w:rPr>
          <w:rFonts w:ascii="Arial" w:cs="Arial" w:eastAsia="Arial" w:hAnsi="Arial"/>
        </w:rPr>
        <w:t xml:space="preserve">The African continent is undergoing a profound technological transformation, driven by a burgeoning youth population, increasing digital literacy, and a vibrant entrepreneurial spirit. This seminar report explores the critical pathways through which young Africans can transcend local innovation to build and scale global technology solutions. While Africa has historically been perceived primarily as a recipient of technology, a new era is emerging where its innovators are poised to contribute significantly to the global digital economy, not merely as consumers but as creators and exporters of cutting-edge solutions.</w:t>
      </w:r>
    </w:p>
    <w:p>
      <w:pPr>
        <w:pStyle w:val="Heading2"/>
        <w:spacing w:after="120" w:before="240"/>
      </w:pPr>
      <w:r>
        <w:rPr>
          <w:rFonts w:ascii="Arial" w:cs="Arial" w:eastAsia="Arial" w:hAnsi="Arial"/>
          <w:b/>
          <w:bCs/>
        </w:rPr>
        <w:t xml:space="preserve">Background of African Technology Development</w:t>
      </w:r>
    </w:p>
    <w:p>
      <w:pPr>
        <w:spacing w:after="200" w:line="360"/>
      </w:pPr>
      <w:r>
        <w:rPr>
          <w:rFonts w:ascii="Arial" w:cs="Arial" w:eastAsia="Arial" w:hAnsi="Arial"/>
        </w:rPr>
        <w:t xml:space="preserve">The trajectory of technology development in Africa has evolved significantly over the past two decades. Initially characterized by a focus on basic telecommunications infrastructure and mobile phone penetration, the continent rapidly adopted mobile-first strategies, bypassing traditional fixed-line infrastructure. This mobile revolution laid the groundwork for widespread digital access, with mobile subscriptions reaching over one billion by 2022, according to GSMA intelligence. This pervasive connectivity has fueled the growth of dynamic tech ecosystems across the continent.</w:t>
      </w:r>
    </w:p>
    <w:p>
      <w:pPr>
        <w:spacing w:after="200" w:line="360"/>
      </w:pPr>
      <w:r>
        <w:rPr>
          <w:rFonts w:ascii="Arial" w:cs="Arial" w:eastAsia="Arial" w:hAnsi="Arial"/>
        </w:rPr>
        <w:t xml:space="preserve">Key innovation hubs have emerged, such as Silicon Savannah in Nairobi, Kenya, renowned for its mobile money innovations like M-Pesa, which revolutionized financial inclusion for millions. Lagos, Nigeria, often dubbed Yabacon Valley, has become a hotbed for fintech, e-commerce, and entertainment technology, attracting substantial venture capital. Similarly, Cape Town, South Africa, boasts a mature tech scene with strengths in software development and digital services, while Cairo, Egypt, is rapidly expanding its footprint in areas like artificial intelligence and enterprise software. These hubs are supported by a growing network of incubators, accelerators, co-working spaces, and angel investor networks, fostering a collaborative environment for startups.</w:t>
      </w:r>
    </w:p>
    <w:p>
      <w:pPr>
        <w:spacing w:after="200" w:line="360"/>
      </w:pPr>
      <w:r>
        <w:rPr>
          <w:rFonts w:ascii="Arial" w:cs="Arial" w:eastAsia="Arial" w:hAnsi="Arial"/>
        </w:rPr>
        <w:t xml:space="preserve">The drivers behind this growth are multifaceted. A demographic dividend, with over 60% of Africa's population under the age of 25, provides a vast pool of potential innovators and early adopters. Increasing internet penetration, albeit with regional disparities, continues to expand market access. Furthermore, a growing interest from international venture capital firms, alongside a rise in local investment funds, has injected crucial capital into promising startups. Governments across the continent are also increasingly recognizing the strategic importance of technology, implementing policies aimed at digital transformation, skill development, and creating more favorable regulatory environments. This confluence of factors has positioned Africa not just as a market for technology, but as a significant source of innovation, particularly in sectors like fintech, agritech, healthtech, and edutech, where local challenges often inspire globally relevant solutions.</w:t>
      </w:r>
    </w:p>
    <w:p>
      <w:pPr>
        <w:pStyle w:val="Heading2"/>
        <w:spacing w:after="120" w:before="240"/>
      </w:pPr>
      <w:r>
        <w:rPr>
          <w:rFonts w:ascii="Arial" w:cs="Arial" w:eastAsia="Arial" w:hAnsi="Arial"/>
          <w:b/>
          <w:bCs/>
        </w:rPr>
        <w:t xml:space="preserve">Problem Statement Regarding Local Solution Scaling</w:t>
      </w:r>
    </w:p>
    <w:p>
      <w:pPr>
        <w:spacing w:after="200" w:line="360"/>
      </w:pPr>
      <w:r>
        <w:rPr>
          <w:rFonts w:ascii="Arial" w:cs="Arial" w:eastAsia="Arial" w:hAnsi="Arial"/>
        </w:rPr>
        <w:t xml:space="preserve">Despite the impressive growth in local innovation, a significant challenge persists: the scaling of these locally developed solutions to achieve global reach and impact. Many promising African tech startups, while successful within their national or regional markets, struggle to transcend these boundaries and compete effectively on the international stage. This limitation curtails their potential for economic growth, job creation, and global influence.</w:t>
      </w:r>
    </w:p>
    <w:p>
      <w:pPr>
        <w:spacing w:after="200" w:line="360"/>
      </w:pPr>
      <w:r>
        <w:rPr>
          <w:rFonts w:ascii="Arial" w:cs="Arial" w:eastAsia="Arial" w:hAnsi="Arial"/>
        </w:rPr>
        <w:t xml:space="preserve">Several critical barriers impede this global scaling. Access to adequate capital remains a primary hurdle; while early-stage funding has increased, securing later-stage investment necessary for international expansion often proves difficult. International investors may perceive higher risks or lack familiarity with African markets, leading to a funding gap. Market fragmentation across Africa itself, characterized by diverse regulatory frameworks, varying consumer behaviors, and multiple languages, complicates regional expansion, let alone global outreach. Furthermore, infrastructure deficits, including inconsistent power supply and varying internet speeds in certain regions, can hinder the reliability and scalability of digital services.</w:t>
      </w:r>
    </w:p>
    <w:p>
      <w:pPr>
        <w:spacing w:after="200" w:line="360"/>
      </w:pPr>
      <w:r>
        <w:rPr>
          <w:rFonts w:ascii="Arial" w:cs="Arial" w:eastAsia="Arial" w:hAnsi="Arial"/>
        </w:rPr>
        <w:t xml:space="preserve">A significant challenge also lies in talent development. While Africa possesses a large youth population, there is often a shortage of specialized skills required for global competitiveness, such as advanced AI/ML engineering, cybersecurity expertise, and product management with international market experience. Policy and regulatory environments, while improving, can still present complexities, with issues around intellectual property protection and cross-border data governance posing obstacles. Finally, a pervasive perception bias sometimes limits the global recognition of African innovation, often pigeonholing solutions as "local problem solvers" rather than universal applications. Overcoming these systemic challenges is crucial for young African innovators to unlock their full potential and contribute meaningfully to the global tech economy.</w:t>
      </w:r>
    </w:p>
    <w:p>
      <w:pPr>
        <w:pStyle w:val="Heading2"/>
        <w:spacing w:after="120" w:before="240"/>
      </w:pPr>
      <w:r>
        <w:rPr>
          <w:rFonts w:ascii="Arial" w:cs="Arial" w:eastAsia="Arial" w:hAnsi="Arial"/>
          <w:b/>
          <w:bCs/>
        </w:rPr>
        <w:t xml:space="preserve">Main Objectives of This Study</w:t>
      </w:r>
    </w:p>
    <w:p>
      <w:pPr>
        <w:spacing w:after="200" w:line="360"/>
      </w:pPr>
      <w:r>
        <w:rPr>
          <w:rFonts w:ascii="Arial" w:cs="Arial" w:eastAsia="Arial" w:hAnsi="Arial"/>
        </w:rPr>
        <w:t xml:space="preserve">This seminar report aims to comprehensively analyze the mechanisms and strategies through which young Africans can effectively build and scale global technology solutions. Specifically, the primary objectives of this study are:</w:t>
      </w:r>
    </w:p>
    <w:p>
      <w:pPr>
        <w:spacing w:after="200" w:line="360"/>
      </w:pPr>
      <w:r>
        <w:rPr>
          <w:rFonts w:ascii="Arial" w:cs="Arial" w:eastAsia="Arial" w:hAnsi="Arial"/>
        </w:rPr>
        <w:t xml:space="preserve">1.  **To analyze the current landscape of African tech innovation:** This involves examining the existing strengths, emerging trends, and key players within the continent's diverse tech ecosystems, with a particular focus on youth-led initiatives and contributions.</w:t>
      </w:r>
    </w:p>
    <w:p>
      <w:pPr>
        <w:spacing w:after="200" w:line="360"/>
      </w:pPr>
      <w:r>
        <w:rPr>
          <w:rFonts w:ascii="Arial" w:cs="Arial" w:eastAsia="Arial" w:hAnsi="Arial"/>
        </w:rPr>
        <w:t xml:space="preserve">2.  **To identify the primary barriers hindering the global scaling of tech solutions developed by young Africans:** This objective seeks to systematically categorize and elaborate on the challenges related to funding, market access, talent, infrastructure, and regulatory frameworks that impede international expansion.</w:t>
      </w:r>
    </w:p>
    <w:p>
      <w:pPr>
        <w:spacing w:after="200" w:line="360"/>
      </w:pPr>
      <w:r>
        <w:rPr>
          <w:rFonts w:ascii="Arial" w:cs="Arial" w:eastAsia="Arial" w:hAnsi="Arial"/>
        </w:rPr>
        <w:t xml:space="preserve">3.  **To explore successful case studies of African tech solutions that have achieved international traction:** By examining specific examples of startups and innovators who have successfully navigated global markets, this study aims to extract actionable insights and replicable strategies.</w:t>
      </w:r>
    </w:p>
    <w:p>
      <w:pPr>
        <w:spacing w:after="200" w:line="360"/>
      </w:pPr>
      <w:r>
        <w:rPr>
          <w:rFonts w:ascii="Arial" w:cs="Arial" w:eastAsia="Arial" w:hAnsi="Arial"/>
        </w:rPr>
        <w:t xml:space="preserve">4.  **To propose actionable strategies and frameworks for young African innovators to develop and scale globally competitive tech solutions:** This objective focuses on providing practical guidance, including product development methodologies, market entry strategies, talent acquisition approaches, and funding models tailored for global ambition.</w:t>
      </w:r>
    </w:p>
    <w:p>
      <w:pPr>
        <w:spacing w:after="200" w:line="360"/>
      </w:pPr>
      <w:r>
        <w:rPr>
          <w:rFonts w:ascii="Arial" w:cs="Arial" w:eastAsia="Arial" w:hAnsi="Arial"/>
        </w:rPr>
        <w:t xml:space="preserve">5.  **To advocate for supportive ecosystems (policy, funding, mentorship) that facilitate global expansion:** The study will conclude with recommendations for stakeholders, including governments, investors, educational institutions, and international organizations, on how to foster an environment conducive to global tech leadership from Africa.</w:t>
      </w:r>
    </w:p>
    <w:p>
      <w:pPr>
        <w:pStyle w:val="Heading2"/>
        <w:spacing w:after="120" w:before="240"/>
      </w:pPr>
      <w:r>
        <w:rPr>
          <w:rFonts w:ascii="Arial" w:cs="Arial" w:eastAsia="Arial" w:hAnsi="Arial"/>
          <w:b/>
          <w:bCs/>
        </w:rPr>
        <w:t xml:space="preserve">Significance of Enabling African Youths in the Global Tech Economy</w:t>
      </w:r>
    </w:p>
    <w:p>
      <w:pPr>
        <w:spacing w:after="200" w:line="360"/>
      </w:pPr>
      <w:r>
        <w:rPr>
          <w:rFonts w:ascii="Arial" w:cs="Arial" w:eastAsia="Arial" w:hAnsi="Arial"/>
        </w:rPr>
        <w:t xml:space="preserve">Enabling young Africans to build and scale global tech solutions holds profound significance, not only for the continent's development but also for the broader global economy and society. Economically, it represents a powerful pathway for diversification from traditional resource-based economies, fostering high-value job creation, attracting foreign direct investment, and boosting GDP growth across African nations. A thriving tech sector driven by youth innovation can transform economies, creating new industries and opportunities that address persistent unemployment challenges.</w:t>
      </w:r>
    </w:p>
    <w:p>
      <w:pPr>
        <w:spacing w:after="200" w:line="360"/>
      </w:pPr>
      <w:r>
        <w:rPr>
          <w:rFonts w:ascii="Arial" w:cs="Arial" w:eastAsia="Arial" w:hAnsi="Arial"/>
        </w:rPr>
        <w:t xml:space="preserve">Beyond economic benefits, the participation of young Africans in the global tech economy brings unique perspectives and solutions to universal challenges. African innovators often develop solutions born out of necessity, addressing issues such as financial exclusion, healthcare access in remote areas, sustainable agriculture, and climate change adaptation. These solutions, honed in challenging environments, frequently possess inherent resilience, adaptability, and cost-effectiveness that make them highly relevant and scalable for other emerging markets and even developed economies facing similar problems. For instance, innovations in off-grid energy solutions or mobile health platforms developed in Africa can offer valuable blueprints for global application.</w:t>
      </w:r>
    </w:p>
    <w:p>
      <w:pPr>
        <w:spacing w:after="200" w:line="360"/>
      </w:pPr>
      <w:r>
        <w:rPr>
          <w:rFonts w:ascii="Arial" w:cs="Arial" w:eastAsia="Arial" w:hAnsi="Arial"/>
        </w:rPr>
        <w:t xml:space="preserve">Furthermore, empowering Africa's youthful demographic, which is projected to constitute a quarter of the world's population by 2050, is critical for global stability and prosperity. Investing in their technological capabilities harnesses this demographic dividend, transforming a potential challenge into a powerful engine for innovation and progress. It also contributes to shifting global narratives, showcasing African ingenuity and capability, thereby countering long-standing stereotypes and fostering a more balanced and inclusive global innovation landscape. A more diverse global tech ecosystem, enriched by African perspectives, is inherently more robust, creative, and capable of addressing the complex challenges of the 21st century. Finally, by</w:t>
      </w:r>
    </w:p>
    <w:p>
      <w:pPr>
        <w:pStyle w:val="Heading2"/>
        <w:spacing w:after="120" w:before="240"/>
      </w:pPr>
      <w:r>
        <w:rPr>
          <w:rFonts w:ascii="Arial" w:cs="Arial" w:eastAsia="Arial" w:hAnsi="Arial"/>
          <w:b/>
          <w:bCs/>
        </w:rPr>
        <w:t xml:space="preserve">2.2 Engineering Frameworks and Microservices Architectures</w:t>
      </w:r>
    </w:p>
    <w:p>
      <w:pPr>
        <w:pStyle w:val="Heading2"/>
        <w:spacing w:after="120" w:before="240"/>
      </w:pPr>
      <w:r>
        <w:rPr>
          <w:rFonts w:ascii="Arial" w:cs="Arial" w:eastAsia="Arial" w:hAnsi="Arial"/>
          <w:b/>
          <w:bCs/>
        </w:rPr>
        <w:t xml:space="preserve">Chapter 2: Literature Review &amp; The African Tech Ecosystem Landscape</w:t>
      </w:r>
    </w:p>
    <w:p>
      <w:pPr>
        <w:spacing w:after="200" w:line="360"/>
      </w:pPr>
      <w:r>
        <w:rPr>
          <w:rFonts w:ascii="Arial" w:cs="Arial" w:eastAsia="Arial" w:hAnsi="Arial"/>
        </w:rPr>
        <w:t xml:space="preserve">The trajectory of technological advancement across Africa has garnered significant academic and industry attention, revealing a complex interplay of innovation, infrastructural challenges, and human capital development. This chapter synthesizes existing literature to delineate the current state of the African tech ecosystem, examining the proliferation of tech hubs, the strategic adoption of open-source software, persistent infrastructural limitations, and the pivotal role of educational institutions in cultivating a skilled developer workforce.</w:t>
      </w:r>
    </w:p>
    <w:p>
      <w:pPr>
        <w:pStyle w:val="Heading2"/>
        <w:spacing w:after="120" w:before="240"/>
      </w:pPr>
      <w:r>
        <w:rPr>
          <w:rFonts w:ascii="Arial" w:cs="Arial" w:eastAsia="Arial" w:hAnsi="Arial"/>
          <w:b/>
          <w:bCs/>
        </w:rPr>
        <w:t xml:space="preserve">The Proliferation and Impact of African Tech Hubs</w:t>
      </w:r>
    </w:p>
    <w:p>
      <w:pPr>
        <w:spacing w:after="200" w:line="360"/>
      </w:pPr>
      <w:r>
        <w:rPr>
          <w:rFonts w:ascii="Arial" w:cs="Arial" w:eastAsia="Arial" w:hAnsi="Arial"/>
        </w:rPr>
        <w:t xml:space="preserve">Research consistently highlights the emergence of vibrant tech hubs as critical accelerators of innovation and entrepreneurship across the continent. These hubs serve as physical and virtual incubators, co-working spaces, and community builders, fostering collaboration and knowledge exchange. Lagos, Nigeria, stands out as a preeminent example, particularly with its Yaba district, often dubbed "Yabacon Valley." Institutions like the Co-Creation Hub (CcHUB) have been instrumental in nurturing startups, providing mentorship, and connecting entrepreneurs with funding opportunities, leading to the growth of companies like LifeBank and Hotels.ng.</w:t>
      </w:r>
    </w:p>
    <w:p>
      <w:pPr>
        <w:spacing w:after="200" w:line="360"/>
      </w:pPr>
      <w:r>
        <w:rPr>
          <w:rFonts w:ascii="Arial" w:cs="Arial" w:eastAsia="Arial" w:hAnsi="Arial"/>
        </w:rPr>
        <w:t xml:space="preserve">Nairobi, Kenya, has similarly cemented its reputation as "Silicon Savannah." The iHub, established in 2010, became a foundational pillar, fostering a community that gave rise to globally recognized innovations such as Ushahidi, a crowdsourcing platform for crisis mapping. Kenya's ecosystem is further characterized by its strong mobile money penetration (M-Pesa) and a burgeoning fintech sector, demonstrating how local solutions can achieve global relevance.</w:t>
      </w:r>
    </w:p>
    <w:p>
      <w:pPr>
        <w:spacing w:after="200" w:line="360"/>
      </w:pPr>
      <w:r>
        <w:rPr>
          <w:rFonts w:ascii="Arial" w:cs="Arial" w:eastAsia="Arial" w:hAnsi="Arial"/>
        </w:rPr>
        <w:t xml:space="preserve">Cape Town, South Africa, represents another significant node, distinguished by its mature venture capital landscape and a strong focus on fintech, e-commerce, and enterprise software. The city benefits from robust university research infrastructure and a diverse talent pool, attracting both local and international investment. These hubs, while distinct in their specializations, collectively underscore a continent-wide trend towards localized innovation, often driven by addressing specific market needs.</w:t>
      </w:r>
    </w:p>
    <w:p>
      <w:pPr>
        <w:pStyle w:val="Heading2"/>
        <w:spacing w:after="120" w:before="240"/>
      </w:pPr>
      <w:r>
        <w:rPr>
          <w:rFonts w:ascii="Arial" w:cs="Arial" w:eastAsia="Arial" w:hAnsi="Arial"/>
          <w:b/>
          <w:bCs/>
        </w:rPr>
        <w:t xml:space="preserve">The Pervasive Influence of Open Source Software</w:t>
      </w:r>
    </w:p>
    <w:p>
      <w:pPr>
        <w:spacing w:after="200" w:line="360"/>
      </w:pPr>
      <w:r>
        <w:rPr>
          <w:rFonts w:ascii="Arial" w:cs="Arial" w:eastAsia="Arial" w:hAnsi="Arial"/>
        </w:rPr>
        <w:t xml:space="preserve">The literature underscores the critical role of open-source software (OSS) in the development of the African tech ecosystem. In environments often characterized by resource constraints, OSS provides a cost-effective alternative to proprietary solutions, reducing licensing fees and offering unparalleled flexibility for customization. This accessibility has democratized technology development, enabling startups and individual developers to build robust applications without prohibitive initial investments.</w:t>
      </w:r>
    </w:p>
    <w:p>
      <w:pPr>
        <w:spacing w:after="200" w:line="360"/>
      </w:pPr>
      <w:r>
        <w:rPr>
          <w:rFonts w:ascii="Arial" w:cs="Arial" w:eastAsia="Arial" w:hAnsi="Arial"/>
        </w:rPr>
        <w:t xml:space="preserve">Furthermore, the collaborative nature of open source aligns well with the community-driven ethos prevalent in many African tech hubs. Developers actively contribute to and leverage global open-source projects, fostering a culture of shared learning and collective problem-solving. Frameworks such as Django (Python), Laravel (PHP), and React (JavaScript) are widely adopted, providing stable and well-documented foundations for web and mobile application development. This engagement not only accelerates local development cycles but also integrates African developers into the global software engineering community, facilitating knowledge transfer and skill enhancement.</w:t>
      </w:r>
    </w:p>
    <w:p>
      <w:pPr>
        <w:pStyle w:val="Heading2"/>
        <w:spacing w:after="120" w:before="240"/>
      </w:pPr>
      <w:r>
        <w:rPr>
          <w:rFonts w:ascii="Arial" w:cs="Arial" w:eastAsia="Arial" w:hAnsi="Arial"/>
          <w:b/>
          <w:bCs/>
        </w:rPr>
        <w:t xml:space="preserve">Navigating Infrastructure Constraints: Power and Bandwidth</w:t>
      </w:r>
    </w:p>
    <w:p>
      <w:pPr>
        <w:spacing w:after="200" w:line="360"/>
      </w:pPr>
      <w:r>
        <w:rPr>
          <w:rFonts w:ascii="Arial" w:cs="Arial" w:eastAsia="Arial" w:hAnsi="Arial"/>
        </w:rPr>
        <w:t xml:space="preserve">Despite the rapid technological advancements, the African tech landscape continues to grapple with significant infrastructural limitations, primarily concerning reliable power supply and ubiquitous high-speed internet bandwidth. Unstable electricity grids necessitate reliance on expensive and environmentally impactful backup generators, significantly increasing operational costs for tech companies and impacting the uptime of critical services. This challenge often forces developers to optimize applications for lower power consumption and to design resilient architectures that can withstand intermittent power outages.</w:t>
      </w:r>
    </w:p>
    <w:p>
      <w:pPr>
        <w:spacing w:after="200" w:line="360"/>
      </w:pPr>
      <w:r>
        <w:rPr>
          <w:rFonts w:ascii="Arial" w:cs="Arial" w:eastAsia="Arial" w:hAnsi="Arial"/>
        </w:rPr>
        <w:t xml:space="preserve">Similarly, access to affordable and high-speed internet remains a bottleneck. While mobile broadband penetration is increasing, fixed-line broadband is less prevalent, and overall bandwidth costs can be higher than in more developed regions. This impacts the adoption of cloud-native architectures, which rely heavily on consistent, low-latency connectivity. Data-intensive applications, real-time collaboration tools, and large-scale software deployments face performance hurdles. Efforts to mitigate these constraints include investments in submarine fiber optic cables, expansion of local data centers to reduce latency, and the exploration of alternative energy solutions like solar power for tech facilities.</w:t>
      </w:r>
    </w:p>
    <w:p>
      <w:pPr>
        <w:pStyle w:val="Heading2"/>
        <w:spacing w:after="120" w:before="240"/>
      </w:pPr>
      <w:r>
        <w:rPr>
          <w:rFonts w:ascii="Arial" w:cs="Arial" w:eastAsia="Arial" w:hAnsi="Arial"/>
          <w:b/>
          <w:bCs/>
        </w:rPr>
        <w:t xml:space="preserve">Developer Training and the Role of Educational Institutions</w:t>
      </w:r>
    </w:p>
    <w:p>
      <w:pPr>
        <w:spacing w:after="200" w:line="360"/>
      </w:pPr>
      <w:r>
        <w:rPr>
          <w:rFonts w:ascii="Arial" w:cs="Arial" w:eastAsia="Arial" w:hAnsi="Arial"/>
        </w:rPr>
        <w:t xml:space="preserve">The cultivation of a skilled developer workforce is paramount for sustaining the growth of the African tech ecosystem. Educational institutions play a crucial role in this regard. Yaba College of Technology (YABATECH) in Nigeria serves as an illustrative example of how vocational and higher education institutions are adapting to industry demands. YABATECH, through its various departments, offers programs in computer science, software engineering, and related fields, emphasizing practical, hands-on training.</w:t>
      </w:r>
    </w:p>
    <w:p>
      <w:pPr>
        <w:spacing w:after="200" w:line="360"/>
      </w:pPr>
      <w:r>
        <w:rPr>
          <w:rFonts w:ascii="Arial" w:cs="Arial" w:eastAsia="Arial" w:hAnsi="Arial"/>
        </w:rPr>
        <w:t xml:space="preserve">These institutions often integrate real-world software engineering paradigms and frameworks into their curricula. Students are exposed to Agile methodologies, such as Scrum and Kanban, which are essential for iterative development and rapid prototyping—a common practice in startup environments. Training often includes proficiency in popular programming languages (e.g., Python, JavaScript, Java), database management systems, and front-end/back-end development frameworks. Furthermore, many institutions are forging partnerships with tech companies and hubs to provide internships, mentorship, and project-based learning opportunities, ensuring that graduates possess not only theoretical knowledge but also practical skills aligned with industry needs. This approach helps bridge the gap between academic learning and the demands of building global tech solutions, preparing young Africans to contribute effectively to the digital economy.</w:t>
      </w:r>
    </w:p>
    <w:p>
      <w:pPr>
        <w:pStyle w:val="Heading2"/>
        <w:spacing w:after="120" w:before="240"/>
      </w:pPr>
      <w:r>
        <w:rPr>
          <w:rFonts w:ascii="Arial" w:cs="Arial" w:eastAsia="Arial" w:hAnsi="Arial"/>
          <w:b/>
          <w:bCs/>
        </w:rPr>
        <w:t xml:space="preserve">2.3 Case Studies of Flutterwave, Paystack, and Andela</w:t>
      </w:r>
    </w:p>
    <w:p>
      <w:pPr>
        <w:pStyle w:val="Heading2"/>
        <w:spacing w:after="120" w:before="240"/>
      </w:pPr>
      <w:r>
        <w:rPr>
          <w:rFonts w:ascii="Arial" w:cs="Arial" w:eastAsia="Arial" w:hAnsi="Arial"/>
          <w:b/>
          <w:bCs/>
        </w:rPr>
        <w:t xml:space="preserve">Chapter 3: Strategic Frameworks for Building Globally Scalable Software</w:t>
      </w:r>
    </w:p>
    <w:p>
      <w:pPr>
        <w:spacing w:after="200" w:line="360"/>
      </w:pPr>
      <w:r>
        <w:rPr>
          <w:rFonts w:ascii="Arial" w:cs="Arial" w:eastAsia="Arial" w:hAnsi="Arial"/>
        </w:rPr>
        <w:t xml:space="preserve">The transition from conceptualizing innovative solutions to actualizing them as globally competitive products necessitates the adoption of robust engineering and business frameworks. For young African developers, understanding and implementing these strategic frameworks is paramount to building software that not only addresses local challenges but also possesses the inherent capability to scale across diverse international markets. This chapter delineates critical architectural patterns, design methodologies, and strategic considerations that underpin the development of globally scalable software.</w:t>
      </w:r>
    </w:p>
    <w:p>
      <w:pPr>
        <w:pStyle w:val="Heading2"/>
        <w:spacing w:after="120" w:before="240"/>
      </w:pPr>
      <w:r>
        <w:rPr>
          <w:rFonts w:ascii="Arial" w:cs="Arial" w:eastAsia="Arial" w:hAnsi="Arial"/>
          <w:b/>
          <w:bCs/>
        </w:rPr>
        <w:t xml:space="preserve">3.1 Cloud-Native Architectures for Global Reach</w:t>
      </w:r>
    </w:p>
    <w:p>
      <w:pPr>
        <w:spacing w:after="200" w:line="360"/>
      </w:pPr>
      <w:r>
        <w:rPr>
          <w:rFonts w:ascii="Arial" w:cs="Arial" w:eastAsia="Arial" w:hAnsi="Arial"/>
        </w:rPr>
        <w:t xml:space="preserve">The foundation of globally scalable software in the contemporary landscape is invariably built upon cloud-native architectures. Major cloud providers such as Amazon Web Services (AWS), Google Cloud Platform (GCP), and Microsoft Azure offer a distributed global infrastructure that enables applications to be deployed closer to users, ensuring low latency and high availability. These platforms provide a comprehensive suite of services that abstract away the complexities of infrastructure management, allowing developers to focus on application logic.</w:t>
      </w:r>
    </w:p>
    <w:p>
      <w:pPr>
        <w:spacing w:after="200" w:line="360"/>
      </w:pPr>
      <w:r>
        <w:rPr>
          <w:rFonts w:ascii="Arial" w:cs="Arial" w:eastAsia="Arial" w:hAnsi="Arial"/>
        </w:rPr>
        <w:t xml:space="preserve">AWS, for instance, offers services like Amazon EC2 for scalable compute capacity, Amazon S3 for highly durable object storage, AWS Lambda for serverless function execution, and Amazon RDS for managed relational databases. Its extensive network of global regions and availability zones allows for resilient deployments and efficient content delivery through services like Amazon CloudFront. Similarly, GCP leverages Google's global network infrastructure, providing services such as Compute Engine, Cloud Storage, Cloud Functions, and Cloud SQL, known for their performance and integration with Google's data analytics capabilities. Microsoft Azure, with its strong enterprise focus, offers Azure Virtual Machines, Azure Blob Storage, Azure Functions, and Azure SQL Database, alongside a comprehensive suite of developer tools and hybrid cloud solutions.</w:t>
      </w:r>
    </w:p>
    <w:p>
      <w:pPr>
        <w:spacing w:after="200" w:line="360"/>
      </w:pPr>
      <w:r>
        <w:rPr>
          <w:rFonts w:ascii="Arial" w:cs="Arial" w:eastAsia="Arial" w:hAnsi="Arial"/>
        </w:rPr>
        <w:t xml:space="preserve">By utilizing these cloud platforms, young African developers can access enterprise-grade infrastructure without significant upfront capital expenditure. This elasticity allows applications to scale resources up or down based on demand, ensuring optimal performance during peak loads and cost efficiency during off-peak periods. Furthermore, the built-in redundancy and disaster recovery mechanisms offered by cloud providers significantly enhance the reliability and global availability of applications, a critical factor for international adoption.</w:t>
      </w:r>
    </w:p>
    <w:p>
      <w:pPr>
        <w:pStyle w:val="Heading2"/>
        <w:spacing w:after="120" w:before="240"/>
      </w:pPr>
      <w:r>
        <w:rPr>
          <w:rFonts w:ascii="Arial" w:cs="Arial" w:eastAsia="Arial" w:hAnsi="Arial"/>
          <w:b/>
          <w:bCs/>
        </w:rPr>
        <w:t xml:space="preserve">3.2 Microservices and API-First Design Principles</w:t>
      </w:r>
    </w:p>
    <w:p>
      <w:pPr>
        <w:spacing w:after="200" w:line="360"/>
      </w:pPr>
      <w:r>
        <w:rPr>
          <w:rFonts w:ascii="Arial" w:cs="Arial" w:eastAsia="Arial" w:hAnsi="Arial"/>
        </w:rPr>
        <w:t xml:space="preserve">To achieve true global scalability and maintainability, monolithic application architectures are often supplanted by microservices. A microservices architecture decomposes an application into a collection of small, independent, loosely coupled services, each responsible for a specific business capability. Each service can be developed, deployed, and scaled independently, often by different teams using diverse technology stacks best suited for its particular function.</w:t>
      </w:r>
    </w:p>
    <w:p>
      <w:pPr>
        <w:spacing w:after="200" w:line="360"/>
      </w:pPr>
      <w:r>
        <w:rPr>
          <w:rFonts w:ascii="Arial" w:cs="Arial" w:eastAsia="Arial" w:hAnsi="Arial"/>
        </w:rPr>
        <w:t xml:space="preserve">The benefits for global scalability are substantial: independent deployment cycles accelerate development and iteration, allowing teams in different geographical locations to work concurrently without significant dependencies. Fault isolation ensures that the failure of one service does not cascade and bring down the entire application. For example, a payment processing microservice can be scaled independently to handle increased transaction volumes from a specific region without affecting the user authentication service. This modularity also facilitates easier integration of new features or adaptation to specific regional requirements without extensive refactoring of the entire system.</w:t>
      </w:r>
    </w:p>
    <w:p>
      <w:pPr>
        <w:spacing w:after="200" w:line="360"/>
      </w:pPr>
      <w:r>
        <w:rPr>
          <w:rFonts w:ascii="Arial" w:cs="Arial" w:eastAsia="Arial" w:hAnsi="Arial"/>
        </w:rPr>
        <w:t xml:space="preserve">Complementing microservices is the principle of API-first design. This methodology dictates that the Application Programming Interface (API) for a service should be designed and documented before any underlying code is written. An API-first approach promotes clear contracts between services and external consumers, fostering interoperability and enabling parallel development. For global solutions, well-defined and robust APIs are crucial for several reasons: they allow third-party developers worldwide to integrate with the solution, fostering an ecosystem of complementary services; they support diverse client applications (web, mobile, IoT) across different platforms; and they facilitate seamless data exchange with partners or regulatory bodies in various jurisdictions. For instance, an API-first approach for a mobile money platform developed in Kenya could enable its integration with local banks in Ghana or e-commerce platforms in Nigeria, expanding its reach without requiring direct code modifications for each new partner.</w:t>
      </w:r>
    </w:p>
    <w:p>
      <w:pPr>
        <w:pStyle w:val="Heading2"/>
        <w:spacing w:after="120" w:before="240"/>
      </w:pPr>
      <w:r>
        <w:rPr>
          <w:rFonts w:ascii="Arial" w:cs="Arial" w:eastAsia="Arial" w:hAnsi="Arial"/>
          <w:b/>
          <w:bCs/>
        </w:rPr>
        <w:t xml:space="preserve">3.3 Internationalization and Localization Strategies</w:t>
      </w:r>
    </w:p>
    <w:p>
      <w:pPr>
        <w:spacing w:after="200" w:line="360"/>
      </w:pPr>
      <w:r>
        <w:rPr>
          <w:rFonts w:ascii="Arial" w:cs="Arial" w:eastAsia="Arial" w:hAnsi="Arial"/>
        </w:rPr>
        <w:t xml:space="preserve">Building software for a global audience requires a deliberate strategy for adapting to diverse linguistic, cultural, and regulatory contexts. This involves two distinct but related processes: internationalization (i18n) and localization (l10n).</w:t>
      </w:r>
    </w:p>
    <w:p>
      <w:pPr>
        <w:spacing w:after="200" w:line="360"/>
      </w:pPr>
      <w:r>
        <w:rPr>
          <w:rFonts w:ascii="Arial" w:cs="Arial" w:eastAsia="Arial" w:hAnsi="Arial"/>
        </w:rPr>
        <w:t xml:space="preserve">Internationalization refers to the process of designing and developing software in a way that makes it adaptable to various languages, regions, and cultures without requiring engineering changes to the source code. Key technical aspects of internationalization include supporting Unicode for text encoding, designing flexible user interfaces that can accommodate varying text lengths and reading directions (e.g., right-to-left for Arabic), and abstracting date, time, currency, and number formats. By internationalizing an application from the outset, developers lay the groundwork for efficient adaptation to any target market.</w:t>
      </w:r>
    </w:p>
    <w:p>
      <w:pPr>
        <w:spacing w:after="200" w:line="360"/>
      </w:pPr>
      <w:r>
        <w:rPr>
          <w:rFonts w:ascii="Arial" w:cs="Arial" w:eastAsia="Arial" w:hAnsi="Arial"/>
        </w:rPr>
        <w:t xml:space="preserve">Localization, on the other hand, is the process of adapting internationalized software for a specific locale or market by adding locale-specific components. This involves translating user interface text, documentation, and marketing materials into local languages. Beyond language, localization encompasses cultural adaptations such as using culturally appropriate imagery, symbols, and color schemes; adjusting date and time formats to local conventions; integrating local payment gateways (e.g., specific mobile money providers in African markets); and ensuring compliance with local legal and regulatory frameworks. For example, a fintech application developed in South Africa might need to be localized for Nigeria by translating its interface into Yoruba or Hausa, integrating with local payment systems like Paystack or Flutterwave, and adhering to the Central Bank of Nigeria's financial regulations. Strategic localization ensures that the software resonates deeply with users in each target market, fostering trust and adoption.</w:t>
      </w:r>
    </w:p>
    <w:p>
      <w:pPr>
        <w:pStyle w:val="Heading2"/>
        <w:spacing w:after="120" w:before="240"/>
      </w:pPr>
      <w:r>
        <w:rPr>
          <w:rFonts w:ascii="Arial" w:cs="Arial" w:eastAsia="Arial" w:hAnsi="Arial"/>
          <w:b/>
          <w:bCs/>
        </w:rPr>
        <w:t xml:space="preserve">3.4 Design Thinking for Local Problems with Global Utility</w:t>
      </w:r>
    </w:p>
    <w:p>
      <w:pPr>
        <w:spacing w:after="200" w:line="360"/>
      </w:pPr>
      <w:r>
        <w:rPr>
          <w:rFonts w:ascii="Arial" w:cs="Arial" w:eastAsia="Arial" w:hAnsi="Arial"/>
        </w:rPr>
        <w:t xml:space="preserve">The journey to building globally scalable solutions often begins with a deep understanding of local problems. Design Thinking, a human-centered approach to innovation, provides a powerful framework for identifying, understanding, and solving complex problems in a way that can yield solutions with global utility. The methodology typically involves five phases: Empathize, Define, Ideate, Prototype, and Test.</w:t>
      </w:r>
    </w:p>
    <w:p>
      <w:pPr>
        <w:spacing w:after="200" w:line="360"/>
      </w:pPr>
      <w:r>
        <w:rPr>
          <w:rFonts w:ascii="Arial" w:cs="Arial" w:eastAsia="Arial" w:hAnsi="Arial"/>
        </w:rPr>
        <w:t xml:space="preserve">For young African developers, applying Design Thinking starts with **Empathizing** with specific challenges faced by</w:t>
      </w:r>
    </w:p>
    <w:p>
      <w:pPr>
        <w:pStyle w:val="Heading2"/>
        <w:spacing w:after="120" w:before="240"/>
      </w:pPr>
      <w:r>
        <w:rPr>
          <w:rFonts w:ascii="Arial" w:cs="Arial" w:eastAsia="Arial" w:hAnsi="Arial"/>
          <w:b/>
          <w:bCs/>
        </w:rPr>
        <w:t xml:space="preserve">2.4 Key Barriers, Opportunities, and Funding Mechanisms</w:t>
      </w:r>
    </w:p>
    <w:p>
      <w:pPr>
        <w:pStyle w:val="Heading2"/>
        <w:spacing w:after="120" w:before="240"/>
      </w:pPr>
      <w:r>
        <w:rPr>
          <w:rFonts w:ascii="Arial" w:cs="Arial" w:eastAsia="Arial" w:hAnsi="Arial"/>
          <w:b/>
          <w:bCs/>
        </w:rPr>
        <w:t xml:space="preserve">Chapter 4: Real-World Case Studies and Startup Successes</w:t>
      </w:r>
    </w:p>
    <w:p>
      <w:pPr>
        <w:spacing w:after="200" w:line="360"/>
      </w:pPr>
      <w:r>
        <w:rPr>
          <w:rFonts w:ascii="Arial" w:cs="Arial" w:eastAsia="Arial" w:hAnsi="Arial"/>
        </w:rPr>
        <w:t xml:space="preserve">The theoretical frameworks and ecosystem analyses presented in preceding chapters find their most compelling validation in the tangible successes of African technology companies that have transcended local markets to achieve global prominence. This chapter delves into the journeys of select African tech entities—Flutterwave, Paystack, and Andela—examining the specific challenges they navigated, their strategic approaches to funding and talent, and the invaluable lessons their execution journeys offer to aspiring founders across the continent. These case studies illuminate the practical application of innovative thinking, resilience, and strategic foresight in building globally competitive solutions from an African base.</w:t>
      </w:r>
    </w:p>
    <w:p>
      <w:pPr>
        <w:pStyle w:val="Heading2"/>
        <w:spacing w:after="120" w:before="240"/>
      </w:pPr>
      <w:r>
        <w:rPr>
          <w:rFonts w:ascii="Arial" w:cs="Arial" w:eastAsia="Arial" w:hAnsi="Arial"/>
          <w:b/>
          <w:bCs/>
        </w:rPr>
        <w:t xml:space="preserve">Flutterwave: Building Pan-African Payment Infrastructure</w:t>
      </w:r>
    </w:p>
    <w:p>
      <w:pPr>
        <w:spacing w:after="200" w:line="360"/>
      </w:pPr>
      <w:r>
        <w:rPr>
          <w:rFonts w:ascii="Arial" w:cs="Arial" w:eastAsia="Arial" w:hAnsi="Arial"/>
        </w:rPr>
        <w:t xml:space="preserve">Flutterwave, founded in 2016, emerged with the ambitious goal of building a robust payment infrastructure to connect Africa to the global economy. Its core offering facilitates cross-border payments for businesses, enabling them to accept payments from customers worldwide and pay out to recipients across Africa.</w:t>
      </w:r>
    </w:p>
    <w:p>
      <w:pPr>
        <w:pStyle w:val="Heading3"/>
        <w:spacing w:after="120" w:before="240"/>
      </w:pPr>
      <w:r>
        <w:rPr>
          <w:rFonts w:ascii="Arial" w:cs="Arial" w:eastAsia="Arial" w:hAnsi="Arial"/>
          <w:b/>
          <w:bCs/>
        </w:rPr>
        <w:t xml:space="preserve">Regulatory Challenges</w:t>
      </w:r>
    </w:p>
    <w:p>
      <w:pPr>
        <w:spacing w:after="200" w:line="360"/>
      </w:pPr>
      <w:r>
        <w:rPr>
          <w:rFonts w:ascii="Arial" w:cs="Arial" w:eastAsia="Arial" w:hAnsi="Arial"/>
        </w:rPr>
        <w:t xml:space="preserve">Flutterwave's expansion strategy necessitated navigating a complex web of financial regulations across numerous African countries and international jurisdictions. In Nigeria, compliance with the Central Bank of Nigeria's (CBN) directives on payment service providers, including licensing requirements and operational guidelines, was paramount. As it expanded into markets like Kenya, Ghana, and South Africa, the company had to secure local licenses, adhere to distinct anti-money laundering (AML) and know-your-customer (KYC) protocols, and integrate with diverse local payment methods and banking systems. Internationally, compliance with PCI DSS standards for data security, alongside regulations in the UK and US for cross-border transactions, presented continuous operational and legal hurdles. This required significant investment in legal and compliance teams, alongside technology designed for regulatory adaptability.</w:t>
      </w:r>
    </w:p>
    <w:p>
      <w:pPr>
        <w:pStyle w:val="Heading3"/>
        <w:spacing w:after="120" w:before="240"/>
      </w:pPr>
      <w:r>
        <w:rPr>
          <w:rFonts w:ascii="Arial" w:cs="Arial" w:eastAsia="Arial" w:hAnsi="Arial"/>
          <w:b/>
          <w:bCs/>
        </w:rPr>
        <w:t xml:space="preserve">Seed Funding Patterns</w:t>
      </w:r>
    </w:p>
    <w:p>
      <w:pPr>
        <w:spacing w:after="200" w:line="360"/>
      </w:pPr>
      <w:r>
        <w:rPr>
          <w:rFonts w:ascii="Arial" w:cs="Arial" w:eastAsia="Arial" w:hAnsi="Arial"/>
        </w:rPr>
        <w:t xml:space="preserve">Flutterwave's funding journey began with early backing from Y Combinator in 2016, a crucial accelerator that provided initial capital and mentorship. This was followed by a significant seed round from investors like Omidyar Network and Greycroft. Subsequent funding rounds saw participation from major global venture capital firms, including Avenir Growth Capital, Tiger Global Management, and Visa, culminating in its achievement of unicorn status in 2021 with a valuation exceeding $1 billion. This pattern demonstrates the importance of early-stage accelerator validation, followed by strategic engagement with both impact investors and mainstream global VCs who recognize the market potential.</w:t>
      </w:r>
    </w:p>
    <w:p>
      <w:pPr>
        <w:pStyle w:val="Heading3"/>
        <w:spacing w:after="120" w:before="240"/>
      </w:pPr>
      <w:r>
        <w:rPr>
          <w:rFonts w:ascii="Arial" w:cs="Arial" w:eastAsia="Arial" w:hAnsi="Arial"/>
          <w:b/>
          <w:bCs/>
        </w:rPr>
        <w:t xml:space="preserve">Talent Acquisition Models</w:t>
      </w:r>
    </w:p>
    <w:p>
      <w:pPr>
        <w:spacing w:after="200" w:line="360"/>
      </w:pPr>
      <w:r>
        <w:rPr>
          <w:rFonts w:ascii="Arial" w:cs="Arial" w:eastAsia="Arial" w:hAnsi="Arial"/>
        </w:rPr>
        <w:t xml:space="preserve">Flutterwave adopted a model focused on attracting top-tier engineering and business talent, often from within Africa, but also leveraging the African diaspora. The company emphasized building a strong, mission-driven culture that resonated with individuals passionate about solving complex payment challenges. Its talent strategy involved rigorous technical assessments, a focus on problem-solving aptitude, and continuous professional development opportunities. This approach allowed Flutterwave to build highly skilled teams capable of developing and maintaining sophisticated financial technology across diverse markets.</w:t>
      </w:r>
    </w:p>
    <w:p>
      <w:pPr>
        <w:pStyle w:val="Heading3"/>
        <w:spacing w:after="120" w:before="240"/>
      </w:pPr>
      <w:r>
        <w:rPr>
          <w:rFonts w:ascii="Arial" w:cs="Arial" w:eastAsia="Arial" w:hAnsi="Arial"/>
          <w:b/>
          <w:bCs/>
        </w:rPr>
        <w:t xml:space="preserve">Key Lessons</w:t>
      </w:r>
    </w:p>
    <w:p>
      <w:pPr>
        <w:spacing w:after="200" w:line="360"/>
      </w:pPr>
      <w:r>
        <w:rPr>
          <w:rFonts w:ascii="Arial" w:cs="Arial" w:eastAsia="Arial" w:hAnsi="Arial"/>
        </w:rPr>
        <w:t xml:space="preserve">New founders can learn from Flutterwave's proactive approach to regulatory compliance, viewing it not as a barrier but as an integral part of building trust and scalability. The company's success underscores the value of building foundational infrastructure that addresses a critical, widespread problem (fragmented payments) with a long-term vision. Furthermore, strategic partnerships with banks, mobile money operators, and international payment networks were crucial for market penetration and operational efficiency.</w:t>
      </w:r>
    </w:p>
    <w:p>
      <w:pPr>
        <w:pStyle w:val="Heading2"/>
        <w:spacing w:after="120" w:before="240"/>
      </w:pPr>
      <w:r>
        <w:rPr>
          <w:rFonts w:ascii="Arial" w:cs="Arial" w:eastAsia="Arial" w:hAnsi="Arial"/>
          <w:b/>
          <w:bCs/>
        </w:rPr>
        <w:t xml:space="preserve">Paystack: Simplifying Online Payments in Africa</w:t>
      </w:r>
    </w:p>
    <w:p>
      <w:pPr>
        <w:spacing w:after="200" w:line="360"/>
      </w:pPr>
      <w:r>
        <w:rPr>
          <w:rFonts w:ascii="Arial" w:cs="Arial" w:eastAsia="Arial" w:hAnsi="Arial"/>
        </w:rPr>
        <w:t xml:space="preserve">Paystack, founded in 2015, aimed to simplify online payments for businesses in Africa, starting with Nigeria. Its user-friendly platform allowed businesses to accept payments via various channels, including cards, bank transfers, and mobile money. The company was acquired by Stripe in 2020 for over $200 million, marking a significant milestone for the African tech ecosystem.</w:t>
      </w:r>
    </w:p>
    <w:p>
      <w:pPr>
        <w:pStyle w:val="Heading3"/>
        <w:spacing w:after="120" w:before="240"/>
      </w:pPr>
      <w:r>
        <w:rPr>
          <w:rFonts w:ascii="Arial" w:cs="Arial" w:eastAsia="Arial" w:hAnsi="Arial"/>
          <w:b/>
          <w:bCs/>
        </w:rPr>
        <w:t xml:space="preserve">Regulatory Challenges</w:t>
      </w:r>
    </w:p>
    <w:p>
      <w:pPr>
        <w:spacing w:after="200" w:line="360"/>
      </w:pPr>
      <w:r>
        <w:rPr>
          <w:rFonts w:ascii="Arial" w:cs="Arial" w:eastAsia="Arial" w:hAnsi="Arial"/>
        </w:rPr>
        <w:t xml:space="preserve">Similar to Flutterwave, Paystack operated within the strict regulatory environment of the Nigerian financial sector, necessitating compliance with CBN directives for payment gateways. Expanding into Ghana and South Africa required navigating their respective financial services regulations, which included obtaining necessary licenses and adhering to local data protection laws. A key challenge was building robust fraud detection and prevention systems that met international standards while being tailored to local payment behaviors and risks.</w:t>
      </w:r>
    </w:p>
    <w:p>
      <w:pPr>
        <w:pStyle w:val="Heading3"/>
        <w:spacing w:after="120" w:before="240"/>
      </w:pPr>
      <w:r>
        <w:rPr>
          <w:rFonts w:ascii="Arial" w:cs="Arial" w:eastAsia="Arial" w:hAnsi="Arial"/>
          <w:b/>
          <w:bCs/>
        </w:rPr>
        <w:t xml:space="preserve">Seed Funding Patterns</w:t>
      </w:r>
    </w:p>
    <w:p>
      <w:pPr>
        <w:spacing w:after="200" w:line="360"/>
      </w:pPr>
      <w:r>
        <w:rPr>
          <w:rFonts w:ascii="Arial" w:cs="Arial" w:eastAsia="Arial" w:hAnsi="Arial"/>
        </w:rPr>
        <w:t xml:space="preserve">Paystack also benefited from early participation in Y Combinator in 2016, which provided initial capital and access to a global network. Subsequent funding rounds included investments from prominent entities such as Tencent, Stripe (before the acquisition), Visa, and various local and international angel investors. This funding trajectory highlights the appeal of a clear, focused product addressing a significant market need, attracting both strategic investors and those looking for high-growth potential.</w:t>
      </w:r>
    </w:p>
    <w:p>
      <w:pPr>
        <w:pStyle w:val="Heading3"/>
        <w:spacing w:after="120" w:before="240"/>
      </w:pPr>
      <w:r>
        <w:rPr>
          <w:rFonts w:ascii="Arial" w:cs="Arial" w:eastAsia="Arial" w:hAnsi="Arial"/>
          <w:b/>
          <w:bCs/>
        </w:rPr>
        <w:t xml:space="preserve">Talent Acquisition Models</w:t>
      </w:r>
    </w:p>
    <w:p>
      <w:pPr>
        <w:spacing w:after="200" w:line="360"/>
      </w:pPr>
      <w:r>
        <w:rPr>
          <w:rFonts w:ascii="Arial" w:cs="Arial" w:eastAsia="Arial" w:hAnsi="Arial"/>
        </w:rPr>
        <w:t xml:space="preserve">Paystack placed a strong emphasis on product-led growth and engineering excellence. Its talent acquisition model focused on identifying and nurturing top Nigerian tech talent, creating a culture that prioritized innovation, user experience, and technical craftsmanship. The company fostered a strong developer community around its APIs, which not only attracted talent but also built a loyal user base. This focus on local talent, coupled with a commitment to a high-quality product, was central to its success.</w:t>
      </w:r>
    </w:p>
    <w:p>
      <w:pPr>
        <w:pStyle w:val="Heading3"/>
        <w:spacing w:after="120" w:before="240"/>
      </w:pPr>
      <w:r>
        <w:rPr>
          <w:rFonts w:ascii="Arial" w:cs="Arial" w:eastAsia="Arial" w:hAnsi="Arial"/>
          <w:b/>
          <w:bCs/>
        </w:rPr>
        <w:t xml:space="preserve">Key Lessons</w:t>
      </w:r>
    </w:p>
    <w:p>
      <w:pPr>
        <w:spacing w:after="200" w:line="360"/>
      </w:pPr>
      <w:r>
        <w:rPr>
          <w:rFonts w:ascii="Arial" w:cs="Arial" w:eastAsia="Arial" w:hAnsi="Arial"/>
        </w:rPr>
        <w:t xml:space="preserve">Paystack's journey demonstrates the power of focusing on a specific market (Nigeria) and solving a core problem (online payment friction) with exceptional user experience. Its success in attracting a global acquirer like Stripe underscores the value of building a product with global standards and a deep understanding of local market nuances. New founders should prioritize product quality, developer experience, and building a strong community around their offerings.</w:t>
      </w:r>
    </w:p>
    <w:p>
      <w:pPr>
        <w:pStyle w:val="Heading2"/>
        <w:spacing w:after="120" w:before="240"/>
      </w:pPr>
      <w:r>
        <w:rPr>
          <w:rFonts w:ascii="Arial" w:cs="Arial" w:eastAsia="Arial" w:hAnsi="Arial"/>
          <w:b/>
          <w:bCs/>
        </w:rPr>
        <w:t xml:space="preserve">Andela: Bridging the Global Tech Talent Gap</w:t>
      </w:r>
    </w:p>
    <w:p>
      <w:pPr>
        <w:spacing w:after="200" w:line="360"/>
      </w:pPr>
      <w:r>
        <w:rPr>
          <w:rFonts w:ascii="Arial" w:cs="Arial" w:eastAsia="Arial" w:hAnsi="Arial"/>
        </w:rPr>
        <w:t xml:space="preserve">Andela, established in 2014, initially set out to identify, train, and place Africa's top 1% of software engineering talent with global companies. Over time, its model evolved from a training-intensive program to a talent marketplace connecting experienced African engineers with remote work opportunities worldwide.</w:t>
      </w:r>
    </w:p>
    <w:p>
      <w:pPr>
        <w:pStyle w:val="Heading3"/>
        <w:spacing w:after="120" w:before="240"/>
      </w:pPr>
      <w:r>
        <w:rPr>
          <w:rFonts w:ascii="Arial" w:cs="Arial" w:eastAsia="Arial" w:hAnsi="Arial"/>
          <w:b/>
          <w:bCs/>
        </w:rPr>
        <w:t xml:space="preserve">Regulatory Challenges</w:t>
      </w:r>
    </w:p>
    <w:p>
      <w:pPr>
        <w:spacing w:after="200" w:line="360"/>
      </w:pPr>
      <w:r>
        <w:rPr>
          <w:rFonts w:ascii="Arial" w:cs="Arial" w:eastAsia="Arial" w:hAnsi="Arial"/>
        </w:rPr>
        <w:t xml:space="preserve">Andela's challenges were less about financial regulation and more about international labor laws, employment compliance, and immigration. Operating across multiple African countries (e.g., Nigeria, Kenya, Uganda, Rwanda) and placing engineers with clients in North America and Europe required meticulous attention to employment contracts, tax implications, and ensuring compliance with diverse labor regulations. Facilitating remote work across different time zones and legal jurisdictions presented ongoing complexities.</w:t>
      </w:r>
    </w:p>
    <w:p>
      <w:pPr>
        <w:pStyle w:val="Heading3"/>
        <w:spacing w:after="120" w:before="240"/>
      </w:pPr>
      <w:r>
        <w:rPr>
          <w:rFonts w:ascii="Arial" w:cs="Arial" w:eastAsia="Arial" w:hAnsi="Arial"/>
          <w:b/>
          <w:bCs/>
        </w:rPr>
        <w:t xml:space="preserve">Seed Funding Patterns</w:t>
      </w:r>
    </w:p>
    <w:p>
      <w:pPr>
        <w:spacing w:after="200" w:line="360"/>
      </w:pPr>
      <w:r>
        <w:rPr>
          <w:rFonts w:ascii="Arial" w:cs="Arial" w:eastAsia="Arial" w:hAnsi="Arial"/>
        </w:rPr>
        <w:t xml:space="preserve">Andela secured significant early funding from impact investors like the Chan Zuckerberg Initiative, alongside venture capital firms such as Spark Capital and Google Ventures. Subsequent rounds included substantial investments from the SoftBank Vision Fund 2, validating its model and potential for scale. This funding pattern reflects the dual appeal of Andela's mission: addressing a social challenge (youth unemployment, skill development) while simultaneously building a profitable, scalable business.</w:t>
      </w:r>
    </w:p>
    <w:p>
      <w:pPr>
        <w:pStyle w:val="Heading3"/>
        <w:spacing w:after="120" w:before="240"/>
      </w:pPr>
      <w:r>
        <w:rPr>
          <w:rFonts w:ascii="Arial" w:cs="Arial" w:eastAsia="Arial" w:hAnsi="Arial"/>
          <w:b/>
          <w:bCs/>
        </w:rPr>
        <w:t xml:space="preserve">Talent Acquisition Models</w:t>
      </w:r>
    </w:p>
    <w:p>
      <w:pPr>
        <w:spacing w:after="200" w:line="360"/>
      </w:pPr>
      <w:r>
        <w:rPr>
          <w:rFonts w:ascii="Arial" w:cs="Arial" w:eastAsia="Arial" w:hAnsi="Arial"/>
        </w:rPr>
        <w:t xml:space="preserve">Andela's initial model involved a highly selective, rigorous training program designed to transform aspiring coders into world-class software engineers. This created a strong brand reputation for quality talent. As it evolved, Andela shifted to sourcing already experienced engineers, leveraging its brand and network to attract top professionals. Its model emphasized remote work capabilities, cultural adaptability, and continuous learning, preparing engineers for the</w:t>
      </w:r>
    </w:p>
    <w:p>
      <w:pPr>
        <w:pStyle w:val="Heading2"/>
        <w:spacing w:after="120" w:before="240"/>
      </w:pPr>
      <w:r>
        <w:rPr>
          <w:rFonts w:ascii="Arial" w:cs="Arial" w:eastAsia="Arial" w:hAnsi="Arial"/>
          <w:b/>
          <w:bCs/>
        </w:rPr>
        <w:t xml:space="preserve">2.5 Proposed Strategic Implementation Model</w:t>
      </w:r>
    </w:p>
    <w:p>
      <w:pPr>
        <w:pStyle w:val="Heading2"/>
        <w:spacing w:after="120" w:before="240"/>
      </w:pPr>
      <w:r>
        <w:rPr>
          <w:rFonts w:ascii="Arial" w:cs="Arial" w:eastAsia="Arial" w:hAnsi="Arial"/>
          <w:b/>
          <w:bCs/>
        </w:rPr>
        <w:t xml:space="preserve">Chapter 5: Key Barriers, Opportunities, and Funding Mechanisms</w:t>
      </w:r>
    </w:p>
    <w:p>
      <w:pPr>
        <w:spacing w:after="200" w:line="360"/>
      </w:pPr>
      <w:r>
        <w:rPr>
          <w:rFonts w:ascii="Arial" w:cs="Arial" w:eastAsia="Arial" w:hAnsi="Arial"/>
        </w:rPr>
        <w:t xml:space="preserve">The journey for young African innovators aiming to build globally competitive technology solutions is marked by a complex interplay of systemic barriers and unprecedented opportunities. Navigating this landscape requires a nuanced understanding of the prevailing funding mechanisms, regulatory environments, and the transformative potential of emerging technological frontiers.</w:t>
      </w:r>
    </w:p>
    <w:p>
      <w:pPr>
        <w:pStyle w:val="Heading2"/>
        <w:spacing w:after="120" w:before="240"/>
      </w:pPr>
      <w:r>
        <w:rPr>
          <w:rFonts w:ascii="Arial" w:cs="Arial" w:eastAsia="Arial" w:hAnsi="Arial"/>
          <w:b/>
          <w:bCs/>
        </w:rPr>
        <w:t xml:space="preserve">Funding Constraints and Investment Patterns</w:t>
      </w:r>
    </w:p>
    <w:p>
      <w:pPr>
        <w:spacing w:after="200" w:line="360"/>
      </w:pPr>
      <w:r>
        <w:rPr>
          <w:rFonts w:ascii="Arial" w:cs="Arial" w:eastAsia="Arial" w:hAnsi="Arial"/>
        </w:rPr>
        <w:t xml:space="preserve">Access to capital remains a significant impediment for many African technology startups, particularly at the nascent stages of development. While the African venture capital landscape has witnessed substantial growth over the past decade, with total funding reaching record highs in recent years, its distribution and accessibility present distinct challenges. Data from firms like Partech Africa consistently indicate a concentration of venture capital activity in a few key markets, notably Nigeria, Kenya, South Africa, and Egypt. This geographical skew leaves promising startups in other regions underserved.</w:t>
      </w:r>
    </w:p>
    <w:p>
      <w:pPr>
        <w:spacing w:after="200" w:line="360"/>
      </w:pPr>
      <w:r>
        <w:rPr>
          <w:rFonts w:ascii="Arial" w:cs="Arial" w:eastAsia="Arial" w:hAnsi="Arial"/>
        </w:rPr>
        <w:t xml:space="preserve">Furthermore, a prevalent pattern in African venture capital is the preference for later-stage funding rounds (Series A and beyond), where companies have demonstrated significant traction and reduced risk profiles. Early-stage startups, particularly those seeking pre-seed or seed funding, often struggle to attract substantial institutional capital. The average ticket sizes for these initial rounds tend to be smaller compared to global benchmarks, which can limit a startup's runway for product development, market validation, and team expansion. This scarcity of early-stage capital often forces founders to bootstrap for extended periods or rely on smaller, less structured investments.</w:t>
      </w:r>
    </w:p>
    <w:p>
      <w:pPr>
        <w:spacing w:after="200" w:line="360"/>
      </w:pPr>
      <w:r>
        <w:rPr>
          <w:rFonts w:ascii="Arial" w:cs="Arial" w:eastAsia="Arial" w:hAnsi="Arial"/>
        </w:rPr>
        <w:t xml:space="preserve">Local angel networks, while growing, are generally nascent and fragmented across the continent. These networks play a crucial role in providing initial capital, mentorship, and access to local market insights. However, they often lack the extensive capital pools, global networks, and specialized industry expertise that larger international venture capital firms or established angel syndicates can offer. The limited number of high-net-worth individuals with a strong appetite for technology risk, coupled with a nascent culture of angel investing in some regions, constrains their overall impact. Consequently, many promising ventures struggle to bridge the gap between initial ideation and securing the substantial capital required for global scaling.</w:t>
      </w:r>
    </w:p>
    <w:p>
      <w:pPr>
        <w:pStyle w:val="Heading2"/>
        <w:spacing w:after="120" w:before="240"/>
      </w:pPr>
      <w:r>
        <w:rPr>
          <w:rFonts w:ascii="Arial" w:cs="Arial" w:eastAsia="Arial" w:hAnsi="Arial"/>
          <w:b/>
          <w:bCs/>
        </w:rPr>
        <w:t xml:space="preserve">Regulatory Barriers and Operational Complexities</w:t>
      </w:r>
    </w:p>
    <w:p>
      <w:pPr>
        <w:spacing w:after="200" w:line="360"/>
      </w:pPr>
      <w:r>
        <w:rPr>
          <w:rFonts w:ascii="Arial" w:cs="Arial" w:eastAsia="Arial" w:hAnsi="Arial"/>
        </w:rPr>
        <w:t xml:space="preserve">Beyond financial constraints, young African entrepreneurs frequently encounter a labyrinth of regulatory hurdles that can impede innovation and cross-border expansion. The fragmented regulatory landscape across 54 distinct nations presents a significant challenge. For instance, data privacy laws vary considerably, with some countries adopting comprehensive frameworks akin to Europe's GDPR, while others have less developed or inconsistent regulations. Navigating these disparate legal requirements for data collection, storage, and processing can be complex and costly for startups aiming for pan-African or global reach.</w:t>
      </w:r>
    </w:p>
    <w:p>
      <w:pPr>
        <w:spacing w:after="200" w:line="360"/>
      </w:pPr>
      <w:r>
        <w:rPr>
          <w:rFonts w:ascii="Arial" w:cs="Arial" w:eastAsia="Arial" w:hAnsi="Arial"/>
        </w:rPr>
        <w:t xml:space="preserve">Cross-border payment interoperability is another critical regulatory barrier. While mobile money has revolutionized domestic transactions, seamless and cost-effective cross-border payments for businesses and consumers remain a challenge due to varying financial regulations, foreign exchange controls, and compliance requirements (e.g., Anti-Money Laundering/Combating the Financing of Terrorism – AML/CFT). This directly impacts e-commerce platforms, remittance services, and any tech solution requiring international financial transactions.</w:t>
      </w:r>
    </w:p>
    <w:p>
      <w:pPr>
        <w:spacing w:after="200" w:line="360"/>
      </w:pPr>
      <w:r>
        <w:rPr>
          <w:rFonts w:ascii="Arial" w:cs="Arial" w:eastAsia="Arial" w:hAnsi="Arial"/>
        </w:rPr>
        <w:t xml:space="preserve">Intellectual property (IP) protection also poses a concern. While most African countries are signatories to international IP treaties, the enforcement mechanisms and legal frameworks can differ significantly. Ensuring robust protection for software, algorithms, and proprietary business models across multiple jurisdictions requires specialized legal expertise, which can be prohibitively expensive for early-stage startups. Furthermore, the ease of doing business, encompassing aspects like company registration, tax compliance, and obtaining necessary permits, varies widely, adding layers of administrative burden and potential delays to startup operations.</w:t>
      </w:r>
    </w:p>
    <w:p>
      <w:pPr>
        <w:pStyle w:val="Heading2"/>
        <w:spacing w:after="120" w:before="240"/>
      </w:pPr>
      <w:r>
        <w:rPr>
          <w:rFonts w:ascii="Arial" w:cs="Arial" w:eastAsia="Arial" w:hAnsi="Arial"/>
          <w:b/>
          <w:bCs/>
        </w:rPr>
        <w:t xml:space="preserve">Immense Opportunities in Emerging Technologies</w:t>
      </w:r>
    </w:p>
    <w:p>
      <w:pPr>
        <w:spacing w:after="200" w:line="360"/>
      </w:pPr>
      <w:r>
        <w:rPr>
          <w:rFonts w:ascii="Arial" w:cs="Arial" w:eastAsia="Arial" w:hAnsi="Arial"/>
        </w:rPr>
        <w:t xml:space="preserve">Despite these barriers, the African continent presents fertile ground for innovation, particularly within several high-growth technological domains. Young Africans are uniquely positioned to leverage these opportunities, often by employing cost-effective tools and open-source solutions to bypass traditional entry barriers.</w:t>
      </w:r>
    </w:p>
    <w:p>
      <w:pPr>
        <w:spacing w:after="200" w:line="360"/>
      </w:pPr>
      <w:r>
        <w:rPr>
          <w:rFonts w:ascii="Arial" w:cs="Arial" w:eastAsia="Arial" w:hAnsi="Arial"/>
        </w:rPr>
        <w:t xml:space="preserve">**Web3:** The decentralized nature of Web3 technologies offers a compelling alternative to traditional centralized systems, particularly in regions where trust in established institutions may be low or access to services limited. Young Africans can leverage blockchain for financial inclusion through Decentralized Finance (DeFi) protocols, enabling peer-to-peer lending, remittances, and asset tokenization without reliance on traditional banks. Non-Fungible Tokens (NFTs) present opportunities for creators to monetize digital art, music, and intellectual property directly, bypassing intermediaries. Furthermore, blockchain's immutability can enhance supply chain transparency, land registry systems, and digital identity solutions. The open-source nature of many blockchain protocols (e.g., Ethereum, Solana) and readily available development tools significantly reduces the initial investment required for entry.</w:t>
      </w:r>
    </w:p>
    <w:p>
      <w:pPr>
        <w:spacing w:after="200" w:line="360"/>
      </w:pPr>
      <w:r>
        <w:rPr>
          <w:rFonts w:ascii="Arial" w:cs="Arial" w:eastAsia="Arial" w:hAnsi="Arial"/>
        </w:rPr>
        <w:t xml:space="preserve">**Artificial Intelligence (AI):** AI holds transformative potential across various African sectors. In healthcare, AI-powered diagnostics can address the shortage of medical professionals, while personalized learning platforms can augment educational outcomes. Predictive analytics can optimize agricultural yields, and natural language processing (NLP) can bridge communication gaps across diverse local languages. Young Africans can tap into vast datasets generated by mobile usage and digital transactions to train AI models relevant to local contexts. Accessible AI/ML frameworks like TensorFlow and PyTorch, coupled with cloud computing services offering free tiers or credits, enable sophisticated AI development without substantial upfront infrastructure costs.</w:t>
      </w:r>
    </w:p>
    <w:p>
      <w:pPr>
        <w:spacing w:after="200" w:line="360"/>
      </w:pPr>
      <w:r>
        <w:rPr>
          <w:rFonts w:ascii="Arial" w:cs="Arial" w:eastAsia="Arial" w:hAnsi="Arial"/>
        </w:rPr>
        <w:t xml:space="preserve">**Fintech:** Africa's high mobile penetration and large unbanked/underbanked population continue to drive innovation in Fintech. Building upon the success of mobile money, opportunities exist in developing digital banking solutions, micro-lending platforms, cross-border remittance services that reduce transaction fees, and innovative insurance products tailored to low-income populations. The existing mobile infrastructure serves as a robust foundation, allowing developers to build applications that integrate seamlessly with established payment gateways and mobile network operators, thereby reducing the need for extensive physical infrastructure.</w:t>
      </w:r>
    </w:p>
    <w:p>
      <w:pPr>
        <w:spacing w:after="200" w:line="360"/>
      </w:pPr>
      <w:r>
        <w:rPr>
          <w:rFonts w:ascii="Arial" w:cs="Arial" w:eastAsia="Arial" w:hAnsi="Arial"/>
        </w:rPr>
        <w:t xml:space="preserve">**Agritech:** With agriculture forming the backbone of many African economies, Agritech presents immense potential for enhancing food security and farmer livelihoods. Solutions can range from precision agriculture using IoT sensors and drone technology for crop monitoring, to digital marketplaces connecting farmers directly with consumers or larger buyers, reducing post-harvest losses and improving market access. AI-driven weather forecasting and pest detection systems can further optimize farming practices. The increasing affordability of IoT devices and satellite imagery, combined with open-source data analysis tools, allows young innovators to develop impactful Agritech solutions without requiring prohibitively expensive proprietary technologies.</w:t>
      </w:r>
    </w:p>
    <w:p>
      <w:pPr>
        <w:spacing w:after="200" w:line="360"/>
      </w:pPr>
      <w:r>
        <w:rPr>
          <w:rFonts w:ascii="Arial" w:cs="Arial" w:eastAsia="Arial" w:hAnsi="Arial"/>
        </w:rPr>
        <w:t xml:space="preserve">By strategically leveraging these technological frontiers and adopting a lean, agile approach with cost-effective, globally accessible tools, young African innovators can effectively circumvent some of the traditional barriers to entry and build solutions with inherent global scalability.</w:t>
      </w:r>
    </w:p>
    <w:p>
      <w:r>
        <w:br w:type="page"/>
      </w:r>
    </w:p>
    <w:p>
      <w:pPr>
        <w:pStyle w:val="Heading1"/>
        <w:spacing w:after="180" w:before="360"/>
      </w:pPr>
      <w:r>
        <w:rPr>
          <w:rFonts w:ascii="Arial" w:cs="Arial" w:eastAsia="Arial" w:hAnsi="Arial"/>
          <w:b/>
          <w:bCs/>
        </w:rPr>
        <w:t xml:space="preserve">3. SUMMARY AND CONCLUSION</w:t>
      </w:r>
    </w:p>
    <w:p>
      <w:pPr>
        <w:pStyle w:val="Heading2"/>
        <w:spacing w:after="120" w:before="240"/>
      </w:pPr>
      <w:r>
        <w:rPr>
          <w:rFonts w:ascii="Arial" w:cs="Arial" w:eastAsia="Arial" w:hAnsi="Arial"/>
          <w:b/>
          <w:bCs/>
        </w:rPr>
        <w:t xml:space="preserve">Chapter 6: Proposed Strategic Implementation Model</w:t>
      </w:r>
    </w:p>
    <w:p>
      <w:pPr>
        <w:spacing w:after="200" w:line="360"/>
      </w:pPr>
      <w:r>
        <w:rPr>
          <w:rFonts w:ascii="Arial" w:cs="Arial" w:eastAsia="Arial" w:hAnsi="Arial"/>
        </w:rPr>
        <w:t xml:space="preserve">The preceding chapters have illuminated the burgeoning potential of young African innovators and the strategic frameworks necessary for building globally competitive technology solutions. However, realizing this potential demands a concerted, multi-stakeholder effort. This chapter proposes a strategic implementation model, outlining actionable recommendations for universities, innovation hubs, and governments to collectively foster an ecosystem conducive to the development and scaling of global tech solutions by African talent. The model emphasizes curriculum reform, the establishment of robust cross-border networks, strengthened intellectual property protections, and supportive policy frameworks for early-stage youth startups.</w:t>
      </w:r>
    </w:p>
    <w:p>
      <w:pPr>
        <w:pStyle w:val="Heading2"/>
        <w:spacing w:after="120" w:before="240"/>
      </w:pPr>
      <w:r>
        <w:rPr>
          <w:rFonts w:ascii="Arial" w:cs="Arial" w:eastAsia="Arial" w:hAnsi="Arial"/>
          <w:b/>
          <w:bCs/>
        </w:rPr>
        <w:t xml:space="preserve">6.1 Reforming Educational Curricula and Training Programs</w:t>
      </w:r>
    </w:p>
    <w:p>
      <w:pPr>
        <w:spacing w:after="200" w:line="360"/>
      </w:pPr>
      <w:r>
        <w:rPr>
          <w:rFonts w:ascii="Arial" w:cs="Arial" w:eastAsia="Arial" w:hAnsi="Arial"/>
        </w:rPr>
        <w:t xml:space="preserve">Traditional university curricula in many African nations often struggle to keep pace with the rapid evolution of the global technology landscape, leading to a skills gap between graduates and industry demands. To bridge this, a fundamental shift towards industry-aligned, practical training is imperative.</w:t>
      </w:r>
    </w:p>
    <w:p>
      <w:pPr>
        <w:pStyle w:val="Heading2"/>
        <w:spacing w:after="120" w:before="240"/>
      </w:pPr>
      <w:r>
        <w:rPr>
          <w:rFonts w:ascii="Arial" w:cs="Arial" w:eastAsia="Arial" w:hAnsi="Arial"/>
          <w:b/>
          <w:bCs/>
        </w:rPr>
        <w:t xml:space="preserve">6.2 Fostering Cross-Border Developer Networks</w:t>
      </w:r>
    </w:p>
    <w:p>
      <w:pPr>
        <w:spacing w:after="200" w:line="360"/>
      </w:pPr>
      <w:r>
        <w:rPr>
          <w:rFonts w:ascii="Arial" w:cs="Arial" w:eastAsia="Arial" w:hAnsi="Arial"/>
        </w:rPr>
        <w:t xml:space="preserve">Isolation can hinder innovation and limit market reach. Establishing robust cross-border developer networks is essential for knowledge exchange, collaborative innovation, and access to diverse markets and talent pools.</w:t>
      </w:r>
    </w:p>
    <w:p>
      <w:pPr>
        <w:pStyle w:val="Heading2"/>
        <w:spacing w:after="120" w:before="240"/>
      </w:pPr>
      <w:r>
        <w:rPr>
          <w:rFonts w:ascii="Arial" w:cs="Arial" w:eastAsia="Arial" w:hAnsi="Arial"/>
          <w:b/>
          <w:bCs/>
        </w:rPr>
        <w:t xml:space="preserve">6.3 Strengthening Intellectual Property Protection Frameworks</w:t>
      </w:r>
    </w:p>
    <w:p>
      <w:pPr>
        <w:spacing w:after="200" w:line="360"/>
      </w:pPr>
      <w:r>
        <w:rPr>
          <w:rFonts w:ascii="Arial" w:cs="Arial" w:eastAsia="Arial" w:hAnsi="Arial"/>
        </w:rPr>
        <w:t xml:space="preserve">A robust intellectual property (IP) protection framework is fundamental for encouraging innovation, attracting investment, and ensuring that creators can benefit from their inventions. Weak or inconsistent IP laws across the continent can deter both local and international investment in African tech ventures.</w:t>
      </w:r>
    </w:p>
    <w:p>
      <w:pPr>
        <w:pStyle w:val="Heading2"/>
        <w:spacing w:after="120" w:before="240"/>
      </w:pPr>
      <w:r>
        <w:rPr>
          <w:rFonts w:ascii="Arial" w:cs="Arial" w:eastAsia="Arial" w:hAnsi="Arial"/>
          <w:b/>
          <w:bCs/>
        </w:rPr>
        <w:t xml:space="preserve">6.4 Policy Recommendations for Early-Stage Youth Startups</w:t>
      </w:r>
    </w:p>
    <w:p>
      <w:pPr>
        <w:spacing w:after="200" w:line="360"/>
      </w:pPr>
      <w:r>
        <w:rPr>
          <w:rFonts w:ascii="Arial" w:cs="Arial" w:eastAsia="Arial" w:hAnsi="Arial"/>
        </w:rPr>
        <w:t xml:space="preserve">An enabling policy environment is crucial for nurturing early-stage youth startups, allowing them to grow from nascent ideas into globally competitive enterprises.</w:t>
      </w:r>
    </w:p>
    <w:p>
      <w:r>
        <w:br w:type="page"/>
      </w:r>
    </w:p>
    <w:p>
      <w:pPr>
        <w:pStyle w:val="Heading1"/>
        <w:spacing w:after="180" w:before="360"/>
      </w:pPr>
      <w:r>
        <w:rPr>
          <w:rFonts w:ascii="Arial" w:cs="Arial" w:eastAsia="Arial" w:hAnsi="Arial"/>
          <w:b/>
          <w:bCs/>
        </w:rPr>
        <w:t xml:space="preserve">4. REFERENCES</w:t>
      </w:r>
    </w:p>
    <w:p>
      <w:pPr>
        <w:pStyle w:val="Heading2"/>
        <w:spacing w:after="120" w:before="240"/>
      </w:pPr>
      <w:r>
        <w:rPr>
          <w:rFonts w:ascii="Arial" w:cs="Arial" w:eastAsia="Arial" w:hAnsi="Arial"/>
          <w:b/>
          <w:bCs/>
        </w:rPr>
        <w:t xml:space="preserve">Chapter 7: Conclusion &amp; Summary of Actionable Insights</w:t>
      </w:r>
    </w:p>
    <w:p>
      <w:pPr>
        <w:spacing w:after="200" w:line="360"/>
      </w:pPr>
      <w:r>
        <w:rPr>
          <w:rFonts w:ascii="Arial" w:cs="Arial" w:eastAsia="Arial" w:hAnsi="Arial"/>
        </w:rPr>
        <w:t xml:space="preserve">This seminar report has meticulously explored the multifaceted pathways through which young Africans can contribute to and lead the development of global technology solutions. From establishing a foundational understanding of the continent's dynamic tech landscape to proposing a strategic implementation model, the preceding chapters have illuminated both the immense potential and the critical requirements for realizing this ambition. The journey has underscored that Africa is not merely a recipient of technological advancements but an increasingly vital hub for innovation, driven by a youthful, digitally literate, and entrepreneurial population.</w:t>
      </w:r>
    </w:p>
    <w:p>
      <w:pPr>
        <w:pStyle w:val="Heading2"/>
        <w:spacing w:after="120" w:before="240"/>
      </w:pPr>
      <w:r>
        <w:rPr>
          <w:rFonts w:ascii="Arial" w:cs="Arial" w:eastAsia="Arial" w:hAnsi="Arial"/>
          <w:b/>
          <w:bCs/>
        </w:rPr>
        <w:t xml:space="preserve">Summary of Key Findings</w:t>
      </w:r>
    </w:p>
    <w:p>
      <w:pPr>
        <w:spacing w:after="200" w:line="360"/>
      </w:pPr>
      <w:r>
        <w:rPr>
          <w:rFonts w:ascii="Arial" w:cs="Arial" w:eastAsia="Arial" w:hAnsi="Arial"/>
        </w:rPr>
        <w:t xml:space="preserve">The report commenced by contextualizing Africa's technological transformation, highlighting the demographic dividend and the burgeoning digital economy as primary catalysts (Chapter 1). This foundational understanding was further enriched by a comprehensive literature review, which detailed the complex interplay of innovation, persistent infrastructural challenges, and the imperative for human capital development within the African tech ecosystem (Chapter 2). The analysis revealed that while significant strides have been made in areas like mobile money and fintech, disparities in digital infrastructure and access to advanced technical education remain critical areas for intervention.</w:t>
      </w:r>
    </w:p>
    <w:p>
      <w:pPr>
        <w:spacing w:after="200" w:line="360"/>
      </w:pPr>
      <w:r>
        <w:rPr>
          <w:rFonts w:ascii="Arial" w:cs="Arial" w:eastAsia="Arial" w:hAnsi="Arial"/>
        </w:rPr>
        <w:t xml:space="preserve">A central tenet of this report was the emphasis on strategic frameworks for building globally scalable software (Chapter 3). It was established that transitioning from localized innovation to global competitiveness necessitates the adoption of robust engineering practices, adherence to international product standards, and a deep understanding of diverse market needs and regulatory environments. These frameworks, encompassing agile methodologies, user-centric design, and scalable architecture, are not merely theoretical constructs but practical blueprints for success.</w:t>
      </w:r>
    </w:p>
    <w:p>
      <w:pPr>
        <w:spacing w:after="200" w:line="360"/>
      </w:pPr>
      <w:r>
        <w:rPr>
          <w:rFonts w:ascii="Arial" w:cs="Arial" w:eastAsia="Arial" w:hAnsi="Arial"/>
        </w:rPr>
        <w:t xml:space="preserve">The efficacy of these frameworks was powerfully demonstrated through real-world case studies of African startups that have achieved global prominence (Chapter 4). Companies such as Flutterwave, which facilitates seamless payment processing across Africa and beyond, and Paystack, acquired by Stripe for its innovative payment gateway solutions, exemplify how African innovators can identify critical market gaps and develop solutions with universal applicability. M-Pesa's pioneering mobile money service, originating in Kenya, further illustrates the potential for African-born innovations to redefine global financial inclusion. These successes underscore the importance of local relevance combined with a global outlook from inception.</w:t>
      </w:r>
    </w:p>
    <w:p>
      <w:pPr>
        <w:spacing w:after="200" w:line="360"/>
      </w:pPr>
      <w:r>
        <w:rPr>
          <w:rFonts w:ascii="Arial" w:cs="Arial" w:eastAsia="Arial" w:hAnsi="Arial"/>
        </w:rPr>
        <w:t xml:space="preserve">However, the path to global tech leadership is not without its impediments. Chapter 5 meticulously examined the key barriers, including limited access to early-stage capital, fragmented policy environments, and skill gaps in emerging technologies like artificial intelligence and blockchain. Concurrently, it identified significant opportunities, such as high mobile penetration rates, a rapidly expanding consumer base, and increasing investor confidence in African markets. The report highlighted that strategic navigation of these challenges, coupled with leveraging inherent opportunities, is paramount for sustained growth.</w:t>
      </w:r>
    </w:p>
    <w:p>
      <w:pPr>
        <w:spacing w:after="200" w:line="360"/>
      </w:pPr>
      <w:r>
        <w:rPr>
          <w:rFonts w:ascii="Arial" w:cs="Arial" w:eastAsia="Arial" w:hAnsi="Arial"/>
        </w:rPr>
        <w:t xml:space="preserve">To synthesize these insights into a coherent action plan, a Proposed Strategic Implementation Model was presented (Chapter 6). This model advocates for a multi-stakeholder approach, emphasizing the collaborative roles of governments in policy formulation and infrastructure development, educational institutions in curriculum reform and skill development, private sector entities in investment and mentorship, and civil society organizations in fostering inclusive innovation. The model posits that a concerted effort across these pillars is essential to create an enabling environment for young African tech builders.</w:t>
      </w:r>
    </w:p>
    <w:p>
      <w:pPr>
        <w:pStyle w:val="Heading2"/>
        <w:spacing w:after="120" w:before="240"/>
      </w:pPr>
      <w:r>
        <w:rPr>
          <w:rFonts w:ascii="Arial" w:cs="Arial" w:eastAsia="Arial" w:hAnsi="Arial"/>
          <w:b/>
          <w:bCs/>
        </w:rPr>
        <w:t xml:space="preserve">Future Outlook for the African Tech Diaspora</w:t>
      </w:r>
    </w:p>
    <w:p>
      <w:pPr>
        <w:spacing w:after="200" w:line="360"/>
      </w:pPr>
      <w:r>
        <w:rPr>
          <w:rFonts w:ascii="Arial" w:cs="Arial" w:eastAsia="Arial" w:hAnsi="Arial"/>
        </w:rPr>
        <w:t xml:space="preserve">The future outlook for the African tech diaspora is one of increasing influence and integration into the global technology landscape. As more African professionals gain experience in leading tech hubs worldwide, they are not only acquiring invaluable skills but also building extensive networks and attracting capital back to the continent. This "brain circulation," rather than a unidirectional drain, is fostering a vibrant ecosystem where global best practices are localized, and African-specific challenges are addressed with globally competitive solutions. The diaspora is poised to play a pivotal role in mentorship, investment, and the transfer of advanced technological knowledge, thereby accelerating the continent's digital transformation and ensuring its representation in the global tech narrative. The unique perspectives and problem-solving approaches honed in diverse African contexts are increasingly recognized as valuable assets in developing universally applicable technologies.</w:t>
      </w:r>
    </w:p>
    <w:p>
      <w:pPr>
        <w:pStyle w:val="Heading2"/>
        <w:spacing w:after="120" w:before="240"/>
      </w:pPr>
      <w:r>
        <w:rPr>
          <w:rFonts w:ascii="Arial" w:cs="Arial" w:eastAsia="Arial" w:hAnsi="Arial"/>
          <w:b/>
          <w:bCs/>
        </w:rPr>
        <w:t xml:space="preserve">Summary of Actionable Insights and Call to Action</w:t>
      </w:r>
    </w:p>
    <w:p>
      <w:pPr>
        <w:spacing w:after="200" w:line="360"/>
      </w:pPr>
      <w:r>
        <w:rPr>
          <w:rFonts w:ascii="Arial" w:cs="Arial" w:eastAsia="Arial" w:hAnsi="Arial"/>
        </w:rPr>
        <w:t xml:space="preserve">Based on the comprehensive analysis presented in this report, the following actionable insights and a final call to action are directed towards young African tech builders and the broader ecosystem:</w:t>
      </w:r>
    </w:p>
    <w:p>
      <w:pPr>
        <w:spacing w:after="200" w:line="360"/>
      </w:pPr>
      <w:r>
        <w:rPr>
          <w:rFonts w:ascii="Arial" w:cs="Arial" w:eastAsia="Arial" w:hAnsi="Arial"/>
        </w:rPr>
        <w:t xml:space="preserve">For the broader ecosystem—governments, investors, educational institutions, and established corporations—the call to action is equally imperative:</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2026-07-02T18:05:00.471Z</dcterms:created>
  <dcterms:modified xsi:type="dcterms:W3CDTF">2026-07-02T18:05:00.500Z</dcterms:modified>
</cp:coreProperties>
</file>

<file path=docProps/custom.xml><?xml version="1.0" encoding="utf-8"?>
<Properties xmlns="http://schemas.openxmlformats.org/officeDocument/2006/custom-properties" xmlns:vt="http://schemas.openxmlformats.org/officeDocument/2006/docPropsVTypes"/>
</file>