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9E178">
      <w:pPr>
        <w:spacing w:after="0"/>
        <w:jc w:val="both"/>
        <w:rPr>
          <w:rFonts w:ascii="Times New Roman" w:hAnsi="Times New Roman" w:cs="Times New Roman"/>
          <w:b/>
          <w:sz w:val="24"/>
          <w:szCs w:val="24"/>
        </w:rPr>
      </w:pPr>
      <w:bookmarkStart w:id="0" w:name="_GoBack"/>
      <w:bookmarkEnd w:id="0"/>
      <w:r>
        <w:rPr>
          <w:rFonts w:ascii="Times New Roman" w:hAnsi="Times New Roman" w:cs="Times New Roman"/>
          <w:b/>
          <w:sz w:val="24"/>
          <w:szCs w:val="24"/>
        </w:rPr>
        <w:t>Listening Skills</w:t>
      </w:r>
    </w:p>
    <w:p w14:paraId="5F3B8447">
      <w:pPr>
        <w:spacing w:after="0"/>
        <w:jc w:val="both"/>
        <w:rPr>
          <w:rFonts w:ascii="Times New Roman" w:hAnsi="Times New Roman" w:cs="Times New Roman"/>
          <w:sz w:val="24"/>
          <w:szCs w:val="24"/>
        </w:rPr>
      </w:pPr>
      <w:r>
        <w:rPr>
          <w:rFonts w:ascii="Times New Roman" w:hAnsi="Times New Roman" w:cs="Times New Roman"/>
          <w:sz w:val="24"/>
          <w:szCs w:val="24"/>
        </w:rPr>
        <w:t>Listening is the ability to receive and interpret messages in the communication process accurately.</w:t>
      </w:r>
    </w:p>
    <w:p w14:paraId="28FC1EA1">
      <w:pPr>
        <w:spacing w:after="0"/>
        <w:jc w:val="both"/>
        <w:rPr>
          <w:rFonts w:ascii="Times New Roman" w:hAnsi="Times New Roman" w:cs="Times New Roman"/>
          <w:sz w:val="24"/>
          <w:szCs w:val="24"/>
        </w:rPr>
      </w:pPr>
    </w:p>
    <w:p w14:paraId="41567886">
      <w:pPr>
        <w:spacing w:after="0"/>
        <w:jc w:val="both"/>
        <w:rPr>
          <w:rFonts w:ascii="Times New Roman" w:hAnsi="Times New Roman" w:cs="Times New Roman"/>
          <w:sz w:val="24"/>
          <w:szCs w:val="24"/>
        </w:rPr>
      </w:pPr>
      <w:r>
        <w:rPr>
          <w:rFonts w:ascii="Times New Roman" w:hAnsi="Times New Roman" w:cs="Times New Roman"/>
          <w:sz w:val="24"/>
          <w:szCs w:val="24"/>
        </w:rPr>
        <w:t>Listening is key to all effective communication, including interpersonal communication. Without the ability to listen effectively, messages are easily misunderstood. As a result, communication breaks down, and the sender of the message can easily become frustrated or irritated.</w:t>
      </w:r>
    </w:p>
    <w:p w14:paraId="6ABBD4FD">
      <w:pPr>
        <w:spacing w:after="0"/>
        <w:jc w:val="both"/>
        <w:rPr>
          <w:rFonts w:ascii="Times New Roman" w:hAnsi="Times New Roman" w:cs="Times New Roman"/>
          <w:sz w:val="24"/>
          <w:szCs w:val="24"/>
        </w:rPr>
      </w:pPr>
      <w:r>
        <w:rPr>
          <w:rFonts w:ascii="Times New Roman" w:hAnsi="Times New Roman" w:cs="Times New Roman"/>
          <w:b/>
          <w:sz w:val="24"/>
          <w:szCs w:val="24"/>
        </w:rPr>
        <w:t xml:space="preserve">Not the Same as Hearing:  </w:t>
      </w:r>
      <w:r>
        <w:rPr>
          <w:rFonts w:ascii="Times New Roman" w:hAnsi="Times New Roman" w:cs="Times New Roman"/>
          <w:sz w:val="24"/>
          <w:szCs w:val="24"/>
        </w:rPr>
        <w:t>hearing as the act of apprehending or the ability to apprehend sounds aurally. This is more or less an experience rather than an activity. It is a physical process that, provided you do not have any hearing problems, happens automatically.</w:t>
      </w:r>
    </w:p>
    <w:p w14:paraId="3D3770B3">
      <w:pPr>
        <w:spacing w:after="0"/>
        <w:jc w:val="both"/>
        <w:rPr>
          <w:rFonts w:ascii="Times New Roman" w:hAnsi="Times New Roman" w:cs="Times New Roman"/>
          <w:sz w:val="24"/>
          <w:szCs w:val="24"/>
        </w:rPr>
      </w:pPr>
    </w:p>
    <w:p w14:paraId="34779729">
      <w:pPr>
        <w:spacing w:after="0"/>
        <w:jc w:val="both"/>
        <w:rPr>
          <w:rFonts w:ascii="Times New Roman" w:hAnsi="Times New Roman" w:cs="Times New Roman"/>
          <w:sz w:val="24"/>
          <w:szCs w:val="24"/>
        </w:rPr>
      </w:pPr>
      <w:r>
        <w:rPr>
          <w:rFonts w:ascii="Times New Roman" w:hAnsi="Times New Roman" w:cs="Times New Roman"/>
          <w:sz w:val="24"/>
          <w:szCs w:val="24"/>
        </w:rPr>
        <w:t xml:space="preserve">Listening is very different from hearing. It is the conscious use of one’s ear to hear some particular sounds. In other words, listening is an </w:t>
      </w:r>
      <w:r>
        <w:rPr>
          <w:rFonts w:ascii="Times New Roman" w:hAnsi="Times New Roman" w:cs="Times New Roman"/>
          <w:b/>
          <w:sz w:val="24"/>
          <w:szCs w:val="24"/>
        </w:rPr>
        <w:t>activity</w:t>
      </w:r>
      <w:r>
        <w:rPr>
          <w:rFonts w:ascii="Times New Roman" w:hAnsi="Times New Roman" w:cs="Times New Roman"/>
          <w:sz w:val="24"/>
          <w:szCs w:val="24"/>
        </w:rPr>
        <w:t xml:space="preserve">; it is something that somebody does. Listening is the aural counterpart of looking: whenever a person is looking in a particular direction, there must be something they are looking for. </w:t>
      </w:r>
    </w:p>
    <w:p w14:paraId="11CFA2F2">
      <w:pPr>
        <w:spacing w:after="0"/>
        <w:jc w:val="both"/>
        <w:rPr>
          <w:rFonts w:ascii="Times New Roman" w:hAnsi="Times New Roman" w:cs="Times New Roman"/>
          <w:sz w:val="24"/>
          <w:szCs w:val="24"/>
        </w:rPr>
      </w:pPr>
    </w:p>
    <w:p w14:paraId="08246393">
      <w:pPr>
        <w:spacing w:after="0"/>
        <w:jc w:val="both"/>
        <w:rPr>
          <w:rFonts w:ascii="Times New Roman" w:hAnsi="Times New Roman" w:cs="Times New Roman"/>
          <w:b/>
          <w:sz w:val="24"/>
          <w:szCs w:val="24"/>
        </w:rPr>
      </w:pPr>
      <w:r>
        <w:rPr>
          <w:rFonts w:ascii="Times New Roman" w:hAnsi="Times New Roman" w:cs="Times New Roman"/>
          <w:sz w:val="24"/>
          <w:szCs w:val="24"/>
        </w:rPr>
        <w:t xml:space="preserve">A listener is on the ‘lookout’ for something in particular. In other words, listening is a </w:t>
      </w:r>
      <w:r>
        <w:rPr>
          <w:rFonts w:ascii="Times New Roman" w:hAnsi="Times New Roman" w:cs="Times New Roman"/>
          <w:b/>
          <w:sz w:val="24"/>
          <w:szCs w:val="24"/>
        </w:rPr>
        <w:t>purposeful activity.</w:t>
      </w:r>
      <w:r>
        <w:rPr>
          <w:rFonts w:ascii="Times New Roman" w:hAnsi="Times New Roman" w:cs="Times New Roman"/>
          <w:sz w:val="24"/>
          <w:szCs w:val="24"/>
        </w:rPr>
        <w:t xml:space="preserve"> It requires focus and concentrated effort, both mental and sometimes physical as well. </w:t>
      </w:r>
    </w:p>
    <w:p w14:paraId="75AF1874">
      <w:pPr>
        <w:spacing w:after="0"/>
        <w:jc w:val="both"/>
        <w:rPr>
          <w:rFonts w:ascii="Times New Roman" w:hAnsi="Times New Roman" w:cs="Times New Roman"/>
          <w:sz w:val="24"/>
          <w:szCs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0"/>
        <w:gridCol w:w="5922"/>
      </w:tblGrid>
      <w:tr w14:paraId="3BF4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9" w:type="dxa"/>
          </w:tcPr>
          <w:p w14:paraId="43992460">
            <w:pPr>
              <w:spacing w:after="0"/>
              <w:jc w:val="both"/>
              <w:rPr>
                <w:rFonts w:ascii="Times New Roman" w:hAnsi="Times New Roman" w:cs="Times New Roman"/>
                <w:b/>
                <w:sz w:val="24"/>
                <w:szCs w:val="24"/>
                <w:lang w:val="yo-NG" w:eastAsia="yo-NG"/>
              </w:rPr>
            </w:pPr>
            <w:r>
              <w:rPr>
                <w:rFonts w:ascii="Times New Roman" w:hAnsi="Times New Roman" w:cs="Times New Roman"/>
                <w:b/>
                <w:sz w:val="24"/>
                <w:szCs w:val="24"/>
                <w:lang w:val="yo-NG" w:eastAsia="yo-NG"/>
              </w:rPr>
              <w:t>Oral/multimedia text</w:t>
            </w:r>
          </w:p>
        </w:tc>
        <w:tc>
          <w:tcPr>
            <w:tcW w:w="6095" w:type="dxa"/>
          </w:tcPr>
          <w:p w14:paraId="1F345455">
            <w:pPr>
              <w:spacing w:after="0"/>
              <w:jc w:val="both"/>
              <w:rPr>
                <w:rFonts w:ascii="Times New Roman" w:hAnsi="Times New Roman" w:cs="Times New Roman"/>
                <w:b/>
                <w:sz w:val="24"/>
                <w:szCs w:val="24"/>
                <w:lang w:eastAsia="yo-NG"/>
              </w:rPr>
            </w:pPr>
            <w:r>
              <w:rPr>
                <w:rFonts w:ascii="Times New Roman" w:hAnsi="Times New Roman" w:cs="Times New Roman"/>
                <w:b/>
                <w:sz w:val="24"/>
                <w:szCs w:val="24"/>
                <w:lang w:eastAsia="yo-NG"/>
              </w:rPr>
              <w:t>Purpose for listening</w:t>
            </w:r>
          </w:p>
        </w:tc>
      </w:tr>
      <w:tr w14:paraId="1664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9" w:type="dxa"/>
          </w:tcPr>
          <w:p w14:paraId="0595A097">
            <w:pPr>
              <w:spacing w:after="0"/>
              <w:jc w:val="both"/>
              <w:rPr>
                <w:rFonts w:ascii="Times New Roman" w:hAnsi="Times New Roman" w:cs="Times New Roman"/>
                <w:sz w:val="24"/>
                <w:szCs w:val="24"/>
                <w:lang w:val="yo-NG" w:eastAsia="yo-NG"/>
              </w:rPr>
            </w:pPr>
            <w:r>
              <w:rPr>
                <w:rFonts w:ascii="Times New Roman" w:hAnsi="Times New Roman" w:cs="Times New Roman"/>
                <w:sz w:val="24"/>
                <w:szCs w:val="24"/>
                <w:lang w:val="yo-NG" w:eastAsia="yo-NG"/>
              </w:rPr>
              <w:t>NTA Network News</w:t>
            </w:r>
          </w:p>
        </w:tc>
        <w:tc>
          <w:tcPr>
            <w:tcW w:w="6095" w:type="dxa"/>
          </w:tcPr>
          <w:p w14:paraId="73746556">
            <w:pPr>
              <w:spacing w:after="0"/>
              <w:jc w:val="both"/>
              <w:rPr>
                <w:rFonts w:ascii="Times New Roman" w:hAnsi="Times New Roman" w:cs="Times New Roman"/>
                <w:sz w:val="24"/>
                <w:szCs w:val="24"/>
                <w:lang w:val="yo-NG" w:eastAsia="yo-NG"/>
              </w:rPr>
            </w:pPr>
          </w:p>
        </w:tc>
      </w:tr>
      <w:tr w14:paraId="26990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9" w:type="dxa"/>
          </w:tcPr>
          <w:p w14:paraId="7C89487E">
            <w:pPr>
              <w:spacing w:after="0"/>
              <w:jc w:val="both"/>
              <w:rPr>
                <w:rFonts w:ascii="Times New Roman" w:hAnsi="Times New Roman" w:cs="Times New Roman"/>
                <w:sz w:val="24"/>
                <w:szCs w:val="24"/>
                <w:lang w:val="en-US" w:eastAsia="yo-NG"/>
              </w:rPr>
            </w:pPr>
            <w:r>
              <w:rPr>
                <w:rFonts w:ascii="Times New Roman" w:hAnsi="Times New Roman" w:cs="Times New Roman"/>
                <w:sz w:val="24"/>
                <w:szCs w:val="24"/>
                <w:lang w:val="en-US" w:eastAsia="yo-NG"/>
              </w:rPr>
              <w:t>A GNS 103 lecture</w:t>
            </w:r>
          </w:p>
        </w:tc>
        <w:tc>
          <w:tcPr>
            <w:tcW w:w="6095" w:type="dxa"/>
          </w:tcPr>
          <w:p w14:paraId="44897B74">
            <w:pPr>
              <w:spacing w:after="0"/>
              <w:jc w:val="both"/>
              <w:rPr>
                <w:rFonts w:ascii="Times New Roman" w:hAnsi="Times New Roman" w:cs="Times New Roman"/>
                <w:sz w:val="24"/>
                <w:szCs w:val="24"/>
                <w:lang w:val="yo-NG" w:eastAsia="yo-NG"/>
              </w:rPr>
            </w:pPr>
          </w:p>
        </w:tc>
      </w:tr>
      <w:tr w14:paraId="4DE8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9" w:type="dxa"/>
          </w:tcPr>
          <w:p w14:paraId="67F380B2">
            <w:pPr>
              <w:spacing w:after="0"/>
              <w:jc w:val="both"/>
              <w:rPr>
                <w:rFonts w:ascii="Times New Roman" w:hAnsi="Times New Roman" w:cs="Times New Roman"/>
                <w:sz w:val="24"/>
                <w:szCs w:val="24"/>
                <w:lang w:val="yo-NG" w:eastAsia="yo-NG"/>
              </w:rPr>
            </w:pPr>
            <w:r>
              <w:rPr>
                <w:rFonts w:ascii="Times New Roman" w:hAnsi="Times New Roman" w:cs="Times New Roman"/>
                <w:sz w:val="24"/>
                <w:szCs w:val="24"/>
                <w:lang w:val="yo-NG" w:eastAsia="yo-NG"/>
              </w:rPr>
              <w:t>Two neighbours arguing</w:t>
            </w:r>
          </w:p>
        </w:tc>
        <w:tc>
          <w:tcPr>
            <w:tcW w:w="6095" w:type="dxa"/>
          </w:tcPr>
          <w:p w14:paraId="595CCC5A">
            <w:pPr>
              <w:spacing w:after="0"/>
              <w:jc w:val="both"/>
              <w:rPr>
                <w:rFonts w:ascii="Times New Roman" w:hAnsi="Times New Roman" w:cs="Times New Roman"/>
                <w:sz w:val="24"/>
                <w:szCs w:val="24"/>
                <w:lang w:val="yo-NG" w:eastAsia="yo-NG"/>
              </w:rPr>
            </w:pPr>
          </w:p>
        </w:tc>
      </w:tr>
      <w:tr w14:paraId="5202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9" w:type="dxa"/>
          </w:tcPr>
          <w:p w14:paraId="752DDDFE">
            <w:pPr>
              <w:spacing w:after="0"/>
              <w:jc w:val="both"/>
              <w:rPr>
                <w:rFonts w:ascii="Times New Roman" w:hAnsi="Times New Roman" w:cs="Times New Roman"/>
                <w:sz w:val="24"/>
                <w:szCs w:val="24"/>
                <w:lang w:val="yo-NG" w:eastAsia="yo-NG"/>
              </w:rPr>
            </w:pPr>
            <w:r>
              <w:rPr>
                <w:rFonts w:ascii="Times New Roman" w:hAnsi="Times New Roman" w:cs="Times New Roman"/>
                <w:sz w:val="24"/>
                <w:szCs w:val="24"/>
                <w:lang w:val="yo-NG" w:eastAsia="yo-NG"/>
              </w:rPr>
              <w:t>A sermon on radio</w:t>
            </w:r>
          </w:p>
        </w:tc>
        <w:tc>
          <w:tcPr>
            <w:tcW w:w="6095" w:type="dxa"/>
          </w:tcPr>
          <w:p w14:paraId="30268B22">
            <w:pPr>
              <w:spacing w:after="0"/>
              <w:jc w:val="both"/>
              <w:rPr>
                <w:rFonts w:ascii="Times New Roman" w:hAnsi="Times New Roman" w:cs="Times New Roman"/>
                <w:sz w:val="24"/>
                <w:szCs w:val="24"/>
                <w:lang w:val="yo-NG" w:eastAsia="yo-NG"/>
              </w:rPr>
            </w:pPr>
          </w:p>
        </w:tc>
      </w:tr>
      <w:tr w14:paraId="56BC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9" w:type="dxa"/>
          </w:tcPr>
          <w:p w14:paraId="47D45F0B">
            <w:pPr>
              <w:spacing w:after="0"/>
              <w:jc w:val="both"/>
              <w:rPr>
                <w:rFonts w:ascii="Times New Roman" w:hAnsi="Times New Roman" w:cs="Times New Roman"/>
                <w:sz w:val="24"/>
                <w:szCs w:val="24"/>
                <w:lang w:val="yo-NG" w:eastAsia="yo-NG"/>
              </w:rPr>
            </w:pPr>
            <w:r>
              <w:rPr>
                <w:rFonts w:ascii="Times New Roman" w:hAnsi="Times New Roman" w:cs="Times New Roman"/>
                <w:sz w:val="24"/>
                <w:szCs w:val="24"/>
                <w:lang w:val="yo-NG" w:eastAsia="yo-NG"/>
              </w:rPr>
              <w:t>A film on AfricaMagic Channel</w:t>
            </w:r>
          </w:p>
        </w:tc>
        <w:tc>
          <w:tcPr>
            <w:tcW w:w="6095" w:type="dxa"/>
          </w:tcPr>
          <w:p w14:paraId="522B7CD3">
            <w:pPr>
              <w:spacing w:after="0"/>
              <w:jc w:val="both"/>
              <w:rPr>
                <w:rFonts w:ascii="Times New Roman" w:hAnsi="Times New Roman" w:cs="Times New Roman"/>
                <w:sz w:val="24"/>
                <w:szCs w:val="24"/>
                <w:lang w:val="yo-NG" w:eastAsia="yo-NG"/>
              </w:rPr>
            </w:pPr>
          </w:p>
        </w:tc>
      </w:tr>
      <w:tr w14:paraId="2F14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9" w:type="dxa"/>
          </w:tcPr>
          <w:p w14:paraId="657407F4">
            <w:pPr>
              <w:spacing w:after="0"/>
              <w:jc w:val="both"/>
              <w:rPr>
                <w:rFonts w:ascii="Times New Roman" w:hAnsi="Times New Roman" w:cs="Times New Roman"/>
                <w:sz w:val="24"/>
                <w:szCs w:val="24"/>
                <w:lang w:val="yo-NG" w:eastAsia="yo-NG"/>
              </w:rPr>
            </w:pPr>
            <w:r>
              <w:rPr>
                <w:rFonts w:ascii="Times New Roman" w:hAnsi="Times New Roman" w:cs="Times New Roman"/>
                <w:sz w:val="24"/>
                <w:szCs w:val="24"/>
                <w:lang w:val="yo-NG" w:eastAsia="yo-NG"/>
              </w:rPr>
              <w:t>Soccer commentary</w:t>
            </w:r>
          </w:p>
        </w:tc>
        <w:tc>
          <w:tcPr>
            <w:tcW w:w="6095" w:type="dxa"/>
          </w:tcPr>
          <w:p w14:paraId="2774A6C7">
            <w:pPr>
              <w:spacing w:after="0"/>
              <w:jc w:val="both"/>
              <w:rPr>
                <w:rFonts w:ascii="Times New Roman" w:hAnsi="Times New Roman" w:cs="Times New Roman"/>
                <w:sz w:val="24"/>
                <w:szCs w:val="24"/>
                <w:lang w:val="yo-NG" w:eastAsia="yo-NG"/>
              </w:rPr>
            </w:pPr>
          </w:p>
        </w:tc>
      </w:tr>
      <w:tr w14:paraId="2FA2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9" w:type="dxa"/>
          </w:tcPr>
          <w:p w14:paraId="0B9224C7">
            <w:pPr>
              <w:spacing w:after="0"/>
              <w:jc w:val="both"/>
              <w:rPr>
                <w:rFonts w:ascii="Times New Roman" w:hAnsi="Times New Roman" w:cs="Times New Roman"/>
                <w:sz w:val="24"/>
                <w:szCs w:val="24"/>
                <w:lang w:val="en-US" w:eastAsia="yo-NG"/>
              </w:rPr>
            </w:pPr>
            <w:r>
              <w:rPr>
                <w:rFonts w:ascii="Times New Roman" w:hAnsi="Times New Roman" w:cs="Times New Roman"/>
                <w:sz w:val="24"/>
                <w:szCs w:val="24"/>
                <w:lang w:val="en-US" w:eastAsia="yo-NG"/>
              </w:rPr>
              <w:t>FUTA Foundation  Lecture</w:t>
            </w:r>
          </w:p>
        </w:tc>
        <w:tc>
          <w:tcPr>
            <w:tcW w:w="6095" w:type="dxa"/>
          </w:tcPr>
          <w:p w14:paraId="07D0307E">
            <w:pPr>
              <w:spacing w:after="0"/>
              <w:jc w:val="both"/>
              <w:rPr>
                <w:rFonts w:ascii="Times New Roman" w:hAnsi="Times New Roman" w:cs="Times New Roman"/>
                <w:sz w:val="24"/>
                <w:szCs w:val="24"/>
                <w:lang w:val="yo-NG" w:eastAsia="yo-NG"/>
              </w:rPr>
            </w:pPr>
          </w:p>
        </w:tc>
      </w:tr>
      <w:tr w14:paraId="3EB9D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9" w:type="dxa"/>
          </w:tcPr>
          <w:p w14:paraId="4EC01C1F">
            <w:pPr>
              <w:spacing w:after="0"/>
              <w:jc w:val="both"/>
              <w:rPr>
                <w:rFonts w:ascii="Times New Roman" w:hAnsi="Times New Roman" w:cs="Times New Roman"/>
                <w:sz w:val="24"/>
                <w:szCs w:val="24"/>
                <w:lang w:val="yo-NG" w:eastAsia="yo-NG"/>
              </w:rPr>
            </w:pPr>
            <w:r>
              <w:rPr>
                <w:rFonts w:ascii="Times New Roman" w:hAnsi="Times New Roman" w:cs="Times New Roman"/>
                <w:sz w:val="24"/>
                <w:szCs w:val="24"/>
                <w:lang w:val="yo-NG" w:eastAsia="yo-NG"/>
              </w:rPr>
              <w:t>A friend on the phone</w:t>
            </w:r>
          </w:p>
        </w:tc>
        <w:tc>
          <w:tcPr>
            <w:tcW w:w="6095" w:type="dxa"/>
          </w:tcPr>
          <w:p w14:paraId="621F5F10">
            <w:pPr>
              <w:spacing w:after="0"/>
              <w:jc w:val="both"/>
              <w:rPr>
                <w:rFonts w:ascii="Times New Roman" w:hAnsi="Times New Roman" w:cs="Times New Roman"/>
                <w:sz w:val="24"/>
                <w:szCs w:val="24"/>
                <w:lang w:val="yo-NG" w:eastAsia="yo-NG"/>
              </w:rPr>
            </w:pPr>
          </w:p>
        </w:tc>
      </w:tr>
    </w:tbl>
    <w:p w14:paraId="6633FD1F">
      <w:pPr>
        <w:spacing w:after="0"/>
        <w:jc w:val="both"/>
        <w:rPr>
          <w:rFonts w:ascii="Times New Roman" w:hAnsi="Times New Roman" w:cs="Times New Roman"/>
          <w:sz w:val="24"/>
          <w:szCs w:val="24"/>
        </w:rPr>
      </w:pPr>
    </w:p>
    <w:p w14:paraId="79D1A3EC">
      <w:pPr>
        <w:spacing w:after="0"/>
        <w:jc w:val="both"/>
        <w:rPr>
          <w:rFonts w:ascii="Times New Roman" w:hAnsi="Times New Roman" w:cs="Times New Roman"/>
          <w:sz w:val="24"/>
          <w:szCs w:val="24"/>
        </w:rPr>
      </w:pPr>
      <w:r>
        <w:rPr>
          <w:rFonts w:ascii="Times New Roman" w:hAnsi="Times New Roman" w:cs="Times New Roman"/>
          <w:sz w:val="24"/>
          <w:szCs w:val="24"/>
        </w:rPr>
        <w:t>Listening is an active process. In fact, the listener can, and should, be at least as engaged in the process as the speaker. The phrase ‘active listening’ describes this process of being fully involved.</w:t>
      </w:r>
    </w:p>
    <w:p w14:paraId="6DECD976">
      <w:pPr>
        <w:spacing w:after="0"/>
        <w:jc w:val="both"/>
        <w:rPr>
          <w:rFonts w:ascii="Times New Roman" w:hAnsi="Times New Roman" w:cs="Times New Roman"/>
          <w:b/>
          <w:sz w:val="24"/>
          <w:szCs w:val="24"/>
        </w:rPr>
      </w:pPr>
      <w:r>
        <w:rPr>
          <w:rFonts w:ascii="Times New Roman" w:hAnsi="Times New Roman" w:cs="Times New Roman"/>
          <w:b/>
          <w:sz w:val="24"/>
          <w:szCs w:val="24"/>
        </w:rPr>
        <w:t>Types of listening</w:t>
      </w:r>
    </w:p>
    <w:p w14:paraId="17BF2B2B">
      <w:pPr>
        <w:spacing w:after="0"/>
        <w:jc w:val="both"/>
        <w:rPr>
          <w:rFonts w:ascii="Times New Roman" w:hAnsi="Times New Roman" w:cs="Times New Roman"/>
          <w:b/>
          <w:i/>
          <w:sz w:val="24"/>
          <w:szCs w:val="24"/>
        </w:rPr>
      </w:pPr>
      <w:r>
        <w:rPr>
          <w:rFonts w:ascii="Times New Roman" w:hAnsi="Times New Roman" w:cs="Times New Roman"/>
          <w:b/>
          <w:i/>
          <w:sz w:val="24"/>
          <w:szCs w:val="24"/>
        </w:rPr>
        <w:t>Informational Listening</w:t>
      </w:r>
    </w:p>
    <w:p w14:paraId="5377CC42">
      <w:pPr>
        <w:spacing w:after="0"/>
        <w:jc w:val="both"/>
        <w:rPr>
          <w:rFonts w:ascii="Times New Roman" w:hAnsi="Times New Roman" w:cs="Times New Roman"/>
          <w:sz w:val="24"/>
          <w:szCs w:val="24"/>
        </w:rPr>
      </w:pPr>
      <w:r>
        <w:rPr>
          <w:rFonts w:ascii="Times New Roman" w:hAnsi="Times New Roman" w:cs="Times New Roman"/>
          <w:sz w:val="24"/>
          <w:szCs w:val="24"/>
        </w:rPr>
        <w:t xml:space="preserve">Whenever you listen to learn something, you are engaged in informational listening.  This is true in many day-to-day situations, in education and at work, when you to hear the news, watch a documentary, when a friend tells you a recipe, or when you are talked through a technical problem with a computer. There are many other examples of informational listening, too.  </w:t>
      </w:r>
    </w:p>
    <w:p w14:paraId="3F65C249">
      <w:pPr>
        <w:spacing w:after="0"/>
        <w:jc w:val="both"/>
        <w:rPr>
          <w:rFonts w:ascii="Times New Roman" w:hAnsi="Times New Roman" w:cs="Times New Roman"/>
          <w:sz w:val="24"/>
          <w:szCs w:val="24"/>
        </w:rPr>
      </w:pPr>
      <w:r>
        <w:rPr>
          <w:rFonts w:ascii="Times New Roman" w:hAnsi="Times New Roman" w:cs="Times New Roman"/>
          <w:sz w:val="24"/>
          <w:szCs w:val="24"/>
        </w:rPr>
        <w:t>When we are listening to learn or be instructed, we are taking in new information and facts, we are not criticising or analysing.  Informational listening, especially in formal settings such as in work meetings or while in education, is often accompanied by note taking – a way of recording key information so that it can be reviewed later.</w:t>
      </w:r>
    </w:p>
    <w:p w14:paraId="10607660">
      <w:pPr>
        <w:spacing w:after="0"/>
        <w:jc w:val="both"/>
        <w:rPr>
          <w:rFonts w:ascii="Times New Roman" w:hAnsi="Times New Roman" w:cs="Times New Roman"/>
          <w:b/>
          <w:sz w:val="24"/>
          <w:szCs w:val="24"/>
        </w:rPr>
      </w:pPr>
      <w:r>
        <w:rPr>
          <w:rFonts w:ascii="Times New Roman" w:hAnsi="Times New Roman" w:cs="Times New Roman"/>
          <w:sz w:val="24"/>
          <w:szCs w:val="24"/>
        </w:rPr>
        <w:t xml:space="preserve">A special kind of informational listening is </w:t>
      </w:r>
      <w:r>
        <w:rPr>
          <w:rFonts w:ascii="Times New Roman" w:hAnsi="Times New Roman" w:cs="Times New Roman"/>
          <w:b/>
          <w:sz w:val="24"/>
          <w:szCs w:val="24"/>
        </w:rPr>
        <w:t xml:space="preserve">listening for study purposes.  </w:t>
      </w:r>
    </w:p>
    <w:p w14:paraId="3177390D">
      <w:pPr>
        <w:spacing w:after="0"/>
        <w:jc w:val="both"/>
        <w:rPr>
          <w:rFonts w:ascii="Times New Roman" w:hAnsi="Times New Roman" w:cs="Times New Roman"/>
          <w:sz w:val="24"/>
          <w:szCs w:val="24"/>
        </w:rPr>
      </w:pPr>
    </w:p>
    <w:p w14:paraId="45DE52F7">
      <w:pPr>
        <w:spacing w:after="0"/>
        <w:jc w:val="both"/>
        <w:rPr>
          <w:rFonts w:ascii="Times New Roman" w:hAnsi="Times New Roman" w:cs="Times New Roman"/>
          <w:b/>
          <w:i/>
          <w:sz w:val="24"/>
          <w:szCs w:val="24"/>
        </w:rPr>
      </w:pPr>
      <w:r>
        <w:rPr>
          <w:rFonts w:ascii="Times New Roman" w:hAnsi="Times New Roman" w:cs="Times New Roman"/>
          <w:b/>
          <w:i/>
          <w:sz w:val="24"/>
          <w:szCs w:val="24"/>
        </w:rPr>
        <w:t>Critical Listening</w:t>
      </w:r>
    </w:p>
    <w:p w14:paraId="17EA26D0">
      <w:pPr>
        <w:spacing w:after="0"/>
        <w:jc w:val="both"/>
        <w:rPr>
          <w:rFonts w:ascii="Times New Roman" w:hAnsi="Times New Roman" w:cs="Times New Roman"/>
          <w:sz w:val="24"/>
          <w:szCs w:val="24"/>
        </w:rPr>
      </w:pPr>
      <w:r>
        <w:rPr>
          <w:rFonts w:ascii="Times New Roman" w:hAnsi="Times New Roman" w:cs="Times New Roman"/>
          <w:sz w:val="24"/>
          <w:szCs w:val="24"/>
        </w:rPr>
        <w:t>We engaged in critical listening when the goal is to evaluate or scrutinise what is being said. Critical listening is a much more active behaviour than informational listening and usually involves some sort of problem solving or decision making. Critical listening is akin to critical reading; both involve an analysis of the information received and an alignment with what we already know or believe. Whereas informational listening underscores the reception of facts and/or new information, critical listening is about analyzing opinion and making a judgement.</w:t>
      </w:r>
    </w:p>
    <w:p w14:paraId="47BA2A64">
      <w:pPr>
        <w:spacing w:after="0"/>
        <w:jc w:val="both"/>
        <w:rPr>
          <w:rFonts w:ascii="Times New Roman" w:hAnsi="Times New Roman" w:cs="Times New Roman"/>
          <w:sz w:val="24"/>
          <w:szCs w:val="24"/>
        </w:rPr>
      </w:pPr>
    </w:p>
    <w:p w14:paraId="1E418EF8">
      <w:pPr>
        <w:spacing w:after="0"/>
        <w:jc w:val="both"/>
        <w:rPr>
          <w:rFonts w:ascii="Times New Roman" w:hAnsi="Times New Roman" w:cs="Times New Roman"/>
          <w:sz w:val="24"/>
          <w:szCs w:val="24"/>
        </w:rPr>
      </w:pPr>
      <w:r>
        <w:rPr>
          <w:rFonts w:ascii="Times New Roman" w:hAnsi="Times New Roman" w:cs="Times New Roman"/>
          <w:sz w:val="24"/>
          <w:szCs w:val="24"/>
        </w:rPr>
        <w:t xml:space="preserve">When the word ‘critical’ is used to describe listening, reading or thinking it does not necessarily mean that you are claiming that the information you are listening to is somehow faulty or flawed. Rather, critical listening means engaging with what you are listening to by asking yourself questions such as, “what is the speaker trying to say?” or “what is the main argument being presented?”, “how does what I’m hearing differ from my beliefs, knowledge or opinion?”.  Critical listening is, therefore, fundamental to true learning.  At the undergraduate level, and in class, very little critical listening is done in class. But at the postgraduate level, during seminars and at conferences, we are engaged in critical listening. </w:t>
      </w:r>
    </w:p>
    <w:p w14:paraId="68F878A4">
      <w:pPr>
        <w:spacing w:after="0"/>
        <w:jc w:val="both"/>
        <w:rPr>
          <w:rFonts w:ascii="Times New Roman" w:hAnsi="Times New Roman" w:cs="Times New Roman"/>
          <w:sz w:val="24"/>
          <w:szCs w:val="24"/>
        </w:rPr>
      </w:pPr>
    </w:p>
    <w:p w14:paraId="4D0E3D53">
      <w:pPr>
        <w:spacing w:after="0"/>
        <w:jc w:val="both"/>
        <w:rPr>
          <w:rFonts w:ascii="Times New Roman" w:hAnsi="Times New Roman" w:cs="Times New Roman"/>
          <w:b/>
          <w:sz w:val="24"/>
          <w:szCs w:val="24"/>
        </w:rPr>
      </w:pPr>
      <w:r>
        <w:rPr>
          <w:rFonts w:ascii="Times New Roman" w:hAnsi="Times New Roman" w:cs="Times New Roman"/>
          <w:b/>
          <w:sz w:val="24"/>
          <w:szCs w:val="24"/>
        </w:rPr>
        <w:t>Why is listening skill important?</w:t>
      </w:r>
    </w:p>
    <w:p w14:paraId="0D5F2F05">
      <w:pPr>
        <w:spacing w:after="0"/>
        <w:jc w:val="both"/>
        <w:rPr>
          <w:rFonts w:ascii="Times New Roman" w:hAnsi="Times New Roman" w:cs="Times New Roman"/>
          <w:sz w:val="24"/>
          <w:szCs w:val="24"/>
        </w:rPr>
      </w:pPr>
    </w:p>
    <w:p w14:paraId="0842F3CF">
      <w:pPr>
        <w:pStyle w:val="26"/>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We spend a lot of time listening</w:t>
      </w:r>
    </w:p>
    <w:p w14:paraId="5B0197C6">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14:paraId="1AF89EE0">
      <w:pPr>
        <w:spacing w:after="0"/>
        <w:jc w:val="both"/>
        <w:rPr>
          <w:rFonts w:ascii="Times New Roman" w:hAnsi="Times New Roman" w:cs="Times New Roman"/>
          <w:sz w:val="24"/>
          <w:szCs w:val="24"/>
        </w:rPr>
      </w:pPr>
      <w:r>
        <w:rPr>
          <w:rFonts w:ascii="Times New Roman" w:hAnsi="Times New Roman" w:cs="Times New Roman"/>
          <w:sz w:val="24"/>
          <w:szCs w:val="24"/>
          <w:lang w:val="en-US" w:eastAsia="en-US"/>
        </w:rPr>
        <w:drawing>
          <wp:inline distT="0" distB="0" distL="0" distR="0">
            <wp:extent cx="5966460" cy="3305810"/>
            <wp:effectExtent l="19050" t="0" r="0" b="0"/>
            <wp:docPr id="16" name="Picture 16" descr="Time Spent Communicating&#10;A 'pie in pie' chart to show the significance of listening.&#10;skillsyouneed.com (c)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ime Spent Communicating&#10;A 'pie in pie' chart to show the significance of listening.&#10;skillsyouneed.com (c)20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79192" cy="3313038"/>
                    </a:xfrm>
                    <a:prstGeom prst="rect">
                      <a:avLst/>
                    </a:prstGeom>
                    <a:noFill/>
                    <a:ln>
                      <a:noFill/>
                    </a:ln>
                  </pic:spPr>
                </pic:pic>
              </a:graphicData>
            </a:graphic>
          </wp:inline>
        </w:drawing>
      </w:r>
    </w:p>
    <w:p w14:paraId="1671EECD">
      <w:pPr>
        <w:spacing w:after="0"/>
        <w:jc w:val="both"/>
        <w:rPr>
          <w:rFonts w:ascii="Times New Roman" w:hAnsi="Times New Roman" w:cs="Times New Roman"/>
          <w:sz w:val="24"/>
          <w:szCs w:val="24"/>
        </w:rPr>
      </w:pPr>
      <w:r>
        <w:rPr>
          <w:rFonts w:ascii="Times New Roman" w:hAnsi="Times New Roman" w:cs="Times New Roman"/>
          <w:sz w:val="24"/>
          <w:szCs w:val="24"/>
        </w:rPr>
        <w:t>Source:  Adler, R., Rosenfeld, L. &amp; Proctor, R. (2001) </w:t>
      </w:r>
      <w:r>
        <w:rPr>
          <w:rFonts w:ascii="Times New Roman" w:hAnsi="Times New Roman" w:cs="Times New Roman"/>
          <w:i/>
          <w:sz w:val="24"/>
          <w:szCs w:val="24"/>
        </w:rPr>
        <w:t>Interplay: The process of Interpersonal Communicating (8th ed)</w:t>
      </w:r>
      <w:r>
        <w:rPr>
          <w:rFonts w:ascii="Times New Roman" w:hAnsi="Times New Roman" w:cs="Times New Roman"/>
          <w:sz w:val="24"/>
          <w:szCs w:val="24"/>
        </w:rPr>
        <w:t>, Fort Worth, TX: Harcourt.</w:t>
      </w:r>
    </w:p>
    <w:p w14:paraId="305A1B63">
      <w:pPr>
        <w:spacing w:after="0"/>
        <w:jc w:val="both"/>
        <w:rPr>
          <w:rFonts w:ascii="Times New Roman" w:hAnsi="Times New Roman" w:cs="Times New Roman"/>
          <w:sz w:val="24"/>
          <w:szCs w:val="24"/>
        </w:rPr>
      </w:pPr>
    </w:p>
    <w:p w14:paraId="3ACB4682">
      <w:pPr>
        <w:spacing w:after="0"/>
        <w:jc w:val="both"/>
        <w:rPr>
          <w:rFonts w:ascii="Times New Roman" w:hAnsi="Times New Roman" w:cs="Times New Roman"/>
          <w:sz w:val="24"/>
          <w:szCs w:val="24"/>
        </w:rPr>
      </w:pPr>
    </w:p>
    <w:p w14:paraId="5327B877">
      <w:pPr>
        <w:pStyle w:val="26"/>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Students learn primarily by listening.</w:t>
      </w:r>
    </w:p>
    <w:p w14:paraId="207379D5">
      <w:pPr>
        <w:spacing w:after="0"/>
        <w:jc w:val="both"/>
        <w:rPr>
          <w:rFonts w:ascii="Times New Roman" w:hAnsi="Times New Roman" w:cs="Times New Roman"/>
          <w:sz w:val="24"/>
          <w:szCs w:val="24"/>
        </w:rPr>
      </w:pPr>
      <w:r>
        <w:rPr>
          <w:rFonts w:ascii="Times New Roman" w:hAnsi="Times New Roman" w:cs="Times New Roman"/>
          <w:sz w:val="24"/>
          <w:szCs w:val="24"/>
        </w:rPr>
        <w:t>The average FUTA student spends about 20 hours per week in class listening to (or may be just hearing) lectures.  A lot of the information you need to do well in school is got from listening.</w:t>
      </w:r>
    </w:p>
    <w:p w14:paraId="43A358E2">
      <w:pPr>
        <w:spacing w:after="0"/>
        <w:jc w:val="both"/>
        <w:rPr>
          <w:rFonts w:ascii="Times New Roman" w:hAnsi="Times New Roman" w:cs="Times New Roman"/>
          <w:sz w:val="24"/>
          <w:szCs w:val="24"/>
        </w:rPr>
      </w:pPr>
    </w:p>
    <w:p w14:paraId="537A5F86">
      <w:pPr>
        <w:spacing w:after="0"/>
        <w:jc w:val="both"/>
        <w:rPr>
          <w:rFonts w:ascii="Times New Roman" w:hAnsi="Times New Roman" w:cs="Times New Roman"/>
          <w:b/>
          <w:sz w:val="24"/>
          <w:szCs w:val="24"/>
        </w:rPr>
      </w:pPr>
      <w:r>
        <w:rPr>
          <w:rFonts w:ascii="Times New Roman" w:hAnsi="Times New Roman" w:cs="Times New Roman"/>
          <w:b/>
          <w:sz w:val="24"/>
          <w:szCs w:val="24"/>
        </w:rPr>
        <w:t>Study listening Strategies</w:t>
      </w:r>
    </w:p>
    <w:p w14:paraId="388294F2">
      <w:pPr>
        <w:spacing w:after="0"/>
        <w:jc w:val="both"/>
        <w:rPr>
          <w:rFonts w:ascii="Times New Roman" w:hAnsi="Times New Roman" w:cs="Times New Roman"/>
          <w:b/>
          <w:sz w:val="24"/>
          <w:szCs w:val="24"/>
        </w:rPr>
      </w:pPr>
    </w:p>
    <w:p w14:paraId="33EC2ADE">
      <w:pPr>
        <w:spacing w:after="0"/>
        <w:jc w:val="both"/>
        <w:rPr>
          <w:rFonts w:ascii="Times New Roman" w:hAnsi="Times New Roman" w:cs="Times New Roman"/>
          <w:sz w:val="24"/>
          <w:szCs w:val="24"/>
        </w:rPr>
      </w:pPr>
      <w:r>
        <w:rPr>
          <w:rFonts w:ascii="Times New Roman" w:hAnsi="Times New Roman" w:cs="Times New Roman"/>
          <w:b/>
          <w:sz w:val="24"/>
          <w:szCs w:val="24"/>
        </w:rPr>
        <w:t>Pre-listening</w:t>
      </w:r>
      <w:r>
        <w:rPr>
          <w:rFonts w:ascii="Times New Roman" w:hAnsi="Times New Roman" w:cs="Times New Roman"/>
          <w:sz w:val="24"/>
          <w:szCs w:val="24"/>
        </w:rPr>
        <w:t xml:space="preserve"> activities refer to activities that one engages in before the actual listening begins.  </w:t>
      </w:r>
    </w:p>
    <w:p w14:paraId="0E017BBC">
      <w:pPr>
        <w:spacing w:after="0"/>
        <w:jc w:val="both"/>
        <w:rPr>
          <w:rFonts w:ascii="Times New Roman" w:hAnsi="Times New Roman" w:cs="Times New Roman"/>
          <w:sz w:val="24"/>
          <w:szCs w:val="24"/>
        </w:rPr>
      </w:pPr>
      <w:r>
        <w:rPr>
          <w:rFonts w:ascii="Times New Roman" w:hAnsi="Times New Roman" w:cs="Times New Roman"/>
          <w:sz w:val="24"/>
          <w:szCs w:val="24"/>
        </w:rPr>
        <w:t xml:space="preserve">Prepare to listen to a lecture by preparing your mind for it. </w:t>
      </w:r>
    </w:p>
    <w:p w14:paraId="2234E3E1">
      <w:pPr>
        <w:pStyle w:val="26"/>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By mentally switching from your MEE class to your GNS class.</w:t>
      </w:r>
    </w:p>
    <w:p w14:paraId="7E952A64">
      <w:pPr>
        <w:pStyle w:val="26"/>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By generating words that may come up during the class</w:t>
      </w:r>
    </w:p>
    <w:p w14:paraId="30F53CCA">
      <w:pPr>
        <w:pStyle w:val="26"/>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By revising your previous notes</w:t>
      </w:r>
    </w:p>
    <w:p w14:paraId="2FE5D7A4">
      <w:pPr>
        <w:pStyle w:val="26"/>
        <w:numPr>
          <w:ilvl w:val="0"/>
          <w:numId w:val="1"/>
        </w:numPr>
        <w:spacing w:after="0"/>
        <w:jc w:val="both"/>
        <w:rPr>
          <w:rFonts w:ascii="Times New Roman" w:hAnsi="Times New Roman" w:cs="Times New Roman"/>
          <w:b/>
          <w:sz w:val="24"/>
          <w:szCs w:val="24"/>
        </w:rPr>
      </w:pPr>
      <w:r>
        <w:rPr>
          <w:rFonts w:ascii="Times New Roman" w:hAnsi="Times New Roman" w:cs="Times New Roman"/>
          <w:sz w:val="24"/>
          <w:szCs w:val="24"/>
        </w:rPr>
        <w:t xml:space="preserve">If you know the topic, by asking anticipatory questions that you would like the lecture to answer:  Possible questions are those that start with wh-words: </w:t>
      </w:r>
      <w:r>
        <w:rPr>
          <w:rFonts w:ascii="Times New Roman" w:hAnsi="Times New Roman" w:cs="Times New Roman"/>
          <w:b/>
          <w:sz w:val="24"/>
          <w:szCs w:val="24"/>
        </w:rPr>
        <w:t>What? When? Who? Where? When? Why? And How?</w:t>
      </w:r>
    </w:p>
    <w:p w14:paraId="6471D406">
      <w:pPr>
        <w:pStyle w:val="26"/>
        <w:numPr>
          <w:ilvl w:val="0"/>
          <w:numId w:val="0"/>
        </w:numPr>
        <w:spacing w:after="0"/>
        <w:ind w:firstLine="0"/>
        <w:jc w:val="both"/>
        <w:rPr>
          <w:rFonts w:ascii="Times New Roman" w:hAnsi="Times New Roman" w:cs="Times New Roman"/>
          <w:b/>
          <w:sz w:val="24"/>
          <w:szCs w:val="24"/>
        </w:rPr>
      </w:pPr>
    </w:p>
    <w:p w14:paraId="30C98CA8">
      <w:pPr>
        <w:spacing w:after="0"/>
        <w:jc w:val="both"/>
        <w:rPr>
          <w:rFonts w:ascii="Times New Roman" w:hAnsi="Times New Roman" w:cs="Times New Roman"/>
          <w:sz w:val="24"/>
          <w:szCs w:val="24"/>
        </w:rPr>
      </w:pPr>
      <w:r>
        <w:rPr>
          <w:rFonts w:ascii="Times New Roman" w:hAnsi="Times New Roman" w:cs="Times New Roman"/>
          <w:sz w:val="24"/>
          <w:szCs w:val="24"/>
        </w:rPr>
        <w:t>Other pre-listening activities are: internet research and reading ahead of the class. If you are taking notes, prepare your materials before the lecturer starts to speak.</w:t>
      </w:r>
    </w:p>
    <w:p w14:paraId="77825870">
      <w:pPr>
        <w:spacing w:after="0"/>
        <w:jc w:val="both"/>
        <w:rPr>
          <w:rFonts w:ascii="Times New Roman" w:hAnsi="Times New Roman" w:cs="Times New Roman"/>
          <w:sz w:val="24"/>
          <w:szCs w:val="24"/>
        </w:rPr>
      </w:pPr>
    </w:p>
    <w:p w14:paraId="36C19522">
      <w:pPr>
        <w:spacing w:after="0"/>
        <w:jc w:val="both"/>
        <w:rPr>
          <w:rFonts w:ascii="Times New Roman" w:hAnsi="Times New Roman" w:cs="Times New Roman"/>
          <w:b/>
          <w:sz w:val="24"/>
          <w:szCs w:val="24"/>
        </w:rPr>
      </w:pPr>
      <w:r>
        <w:rPr>
          <w:rFonts w:ascii="Times New Roman" w:hAnsi="Times New Roman" w:cs="Times New Roman"/>
          <w:b/>
          <w:sz w:val="24"/>
          <w:szCs w:val="24"/>
        </w:rPr>
        <w:t>While listening</w:t>
      </w:r>
    </w:p>
    <w:p w14:paraId="4B3AC233">
      <w:pPr>
        <w:pStyle w:val="26"/>
        <w:numPr>
          <w:ilvl w:val="0"/>
          <w:numId w:val="2"/>
        </w:numPr>
        <w:spacing w:after="0"/>
        <w:jc w:val="both"/>
        <w:rPr>
          <w:rFonts w:ascii="Times New Roman" w:hAnsi="Times New Roman" w:cs="Times New Roman"/>
          <w:sz w:val="24"/>
          <w:szCs w:val="24"/>
        </w:rPr>
      </w:pPr>
      <w:r>
        <w:rPr>
          <w:rFonts w:ascii="Times New Roman" w:hAnsi="Times New Roman" w:cs="Times New Roman"/>
          <w:b/>
          <w:sz w:val="24"/>
          <w:szCs w:val="24"/>
        </w:rPr>
        <w:t>Maintain eye contact with the instructor</w:t>
      </w:r>
      <w:r>
        <w:rPr>
          <w:rFonts w:ascii="Times New Roman" w:hAnsi="Times New Roman" w:cs="Times New Roman"/>
          <w:sz w:val="24"/>
          <w:szCs w:val="24"/>
        </w:rPr>
        <w:t xml:space="preserve">. Of course you will need to look at your notebook to write your notes, but eye contact keeps you focused on the job at hand and keeps you involved in the lecture. </w:t>
      </w:r>
    </w:p>
    <w:p w14:paraId="5B4E7604">
      <w:pPr>
        <w:pStyle w:val="26"/>
        <w:numPr>
          <w:ilvl w:val="0"/>
          <w:numId w:val="2"/>
        </w:numPr>
        <w:spacing w:after="0"/>
        <w:jc w:val="both"/>
        <w:rPr>
          <w:rFonts w:ascii="Times New Roman" w:hAnsi="Times New Roman" w:cs="Times New Roman"/>
          <w:b/>
          <w:sz w:val="24"/>
          <w:szCs w:val="24"/>
        </w:rPr>
      </w:pPr>
      <w:r>
        <w:rPr>
          <w:rFonts w:ascii="Times New Roman" w:hAnsi="Times New Roman" w:cs="Times New Roman"/>
          <w:sz w:val="24"/>
          <w:szCs w:val="24"/>
        </w:rPr>
        <w:t xml:space="preserve">In very large classes where eye contact may not be possible, </w:t>
      </w:r>
      <w:r>
        <w:rPr>
          <w:rFonts w:ascii="Times New Roman" w:hAnsi="Times New Roman" w:cs="Times New Roman"/>
          <w:b/>
          <w:sz w:val="24"/>
          <w:szCs w:val="24"/>
        </w:rPr>
        <w:t>orient your body so that you are facing the speaker.</w:t>
      </w:r>
    </w:p>
    <w:p w14:paraId="574A2A61">
      <w:pPr>
        <w:spacing w:after="0"/>
        <w:jc w:val="both"/>
        <w:rPr>
          <w:rFonts w:ascii="Times New Roman" w:hAnsi="Times New Roman" w:cs="Times New Roman"/>
          <w:b/>
          <w:sz w:val="24"/>
          <w:szCs w:val="24"/>
        </w:rPr>
      </w:pPr>
    </w:p>
    <w:p w14:paraId="1CA7C567">
      <w:pPr>
        <w:pStyle w:val="26"/>
        <w:numPr>
          <w:ilvl w:val="0"/>
          <w:numId w:val="2"/>
        </w:numPr>
        <w:spacing w:after="0"/>
        <w:jc w:val="both"/>
        <w:rPr>
          <w:rFonts w:ascii="Times New Roman" w:hAnsi="Times New Roman" w:cs="Times New Roman"/>
          <w:sz w:val="24"/>
          <w:szCs w:val="24"/>
        </w:rPr>
      </w:pPr>
      <w:r>
        <w:rPr>
          <w:rFonts w:ascii="Times New Roman" w:hAnsi="Times New Roman" w:cs="Times New Roman"/>
          <w:b/>
          <w:sz w:val="24"/>
          <w:szCs w:val="24"/>
        </w:rPr>
        <w:t>Focus on content, not delivery</w:t>
      </w:r>
      <w:r>
        <w:rPr>
          <w:rFonts w:ascii="Times New Roman" w:hAnsi="Times New Roman" w:cs="Times New Roman"/>
          <w:sz w:val="24"/>
          <w:szCs w:val="24"/>
        </w:rPr>
        <w:t xml:space="preserve">. Don’t focus on the speech style or mannerisms of the teacher or their clothes or how many times the teacher clears his/her throat in a fifteen minute period. Pretend you are buying a glass bottle of coca-cola: liquid contents only. </w:t>
      </w:r>
    </w:p>
    <w:p w14:paraId="33265899">
      <w:pPr>
        <w:spacing w:after="0"/>
        <w:jc w:val="both"/>
        <w:rPr>
          <w:rFonts w:ascii="Times New Roman" w:hAnsi="Times New Roman" w:cs="Times New Roman"/>
          <w:sz w:val="24"/>
          <w:szCs w:val="24"/>
        </w:rPr>
      </w:pPr>
    </w:p>
    <w:p w14:paraId="78C7BDA3">
      <w:pPr>
        <w:pStyle w:val="26"/>
        <w:numPr>
          <w:ilvl w:val="0"/>
          <w:numId w:val="2"/>
        </w:numPr>
        <w:spacing w:after="0"/>
        <w:jc w:val="both"/>
        <w:rPr>
          <w:rFonts w:ascii="Times New Roman" w:hAnsi="Times New Roman" w:cs="Times New Roman"/>
          <w:sz w:val="24"/>
          <w:szCs w:val="24"/>
        </w:rPr>
      </w:pPr>
      <w:r>
        <w:rPr>
          <w:rFonts w:ascii="Times New Roman" w:hAnsi="Times New Roman" w:cs="Times New Roman"/>
          <w:b/>
          <w:sz w:val="24"/>
          <w:szCs w:val="24"/>
        </w:rPr>
        <w:t>Avoid emotional involvement.</w:t>
      </w:r>
      <w:r>
        <w:rPr>
          <w:rFonts w:ascii="Times New Roman" w:hAnsi="Times New Roman" w:cs="Times New Roman"/>
          <w:sz w:val="24"/>
          <w:szCs w:val="24"/>
        </w:rPr>
        <w:t> When you are too emotionally involved in listening, you tend to hear what you want to hear--not what is actually being said. Try to remain objective and open-minded. Don’t second-guess the teacher’s politics or religious biases.</w:t>
      </w:r>
    </w:p>
    <w:p w14:paraId="6CF4F3B0">
      <w:pPr>
        <w:pStyle w:val="26"/>
        <w:numPr>
          <w:ilvl w:val="0"/>
          <w:numId w:val="2"/>
        </w:numPr>
        <w:spacing w:after="0"/>
        <w:jc w:val="both"/>
        <w:rPr>
          <w:rFonts w:ascii="Times New Roman" w:hAnsi="Times New Roman" w:cs="Times New Roman"/>
          <w:sz w:val="24"/>
          <w:szCs w:val="24"/>
        </w:rPr>
      </w:pPr>
      <w:r>
        <w:rPr>
          <w:rFonts w:ascii="Times New Roman" w:hAnsi="Times New Roman" w:cs="Times New Roman"/>
          <w:b/>
          <w:sz w:val="24"/>
          <w:szCs w:val="24"/>
        </w:rPr>
        <w:t>Avoid distractions. </w:t>
      </w:r>
      <w:r>
        <w:rPr>
          <w:rFonts w:ascii="Times New Roman" w:hAnsi="Times New Roman" w:cs="Times New Roman"/>
          <w:sz w:val="24"/>
          <w:szCs w:val="24"/>
        </w:rPr>
        <w:t>Don't let your mind wander or be distracted by the person shuffling papers near you. If your friend is chatty in class, try not to sit near them.</w:t>
      </w:r>
    </w:p>
    <w:p w14:paraId="6E798DC6">
      <w:pPr>
        <w:pStyle w:val="26"/>
        <w:numPr>
          <w:ilvl w:val="0"/>
          <w:numId w:val="2"/>
        </w:numPr>
        <w:spacing w:after="0"/>
        <w:jc w:val="both"/>
        <w:rPr>
          <w:rFonts w:ascii="Times New Roman" w:hAnsi="Times New Roman" w:cs="Times New Roman"/>
          <w:sz w:val="24"/>
          <w:szCs w:val="24"/>
        </w:rPr>
      </w:pPr>
      <w:r>
        <w:rPr>
          <w:rFonts w:ascii="Times New Roman" w:hAnsi="Times New Roman" w:cs="Times New Roman"/>
          <w:b/>
          <w:sz w:val="24"/>
          <w:szCs w:val="24"/>
        </w:rPr>
        <w:t>Treat listening as a challenging mental task.</w:t>
      </w:r>
      <w:r>
        <w:rPr>
          <w:rFonts w:ascii="Times New Roman" w:hAnsi="Times New Roman" w:cs="Times New Roman"/>
          <w:sz w:val="24"/>
          <w:szCs w:val="24"/>
        </w:rPr>
        <w:t> Listening to an academic lecture is not a passive act--at least it shouldn't be. You need to concentrate on what is said so that you can process the information into your notes.</w:t>
      </w:r>
    </w:p>
    <w:p w14:paraId="7565DDEC">
      <w:pPr>
        <w:pStyle w:val="26"/>
        <w:numPr>
          <w:ilvl w:val="0"/>
          <w:numId w:val="2"/>
        </w:numPr>
        <w:spacing w:after="0"/>
        <w:jc w:val="both"/>
        <w:rPr>
          <w:rFonts w:ascii="Times New Roman" w:hAnsi="Times New Roman" w:cs="Times New Roman"/>
          <w:sz w:val="24"/>
          <w:szCs w:val="24"/>
        </w:rPr>
      </w:pPr>
      <w:r>
        <w:rPr>
          <w:rFonts w:ascii="Times New Roman" w:hAnsi="Times New Roman" w:cs="Times New Roman"/>
          <w:b/>
          <w:sz w:val="24"/>
          <w:szCs w:val="24"/>
        </w:rPr>
        <w:t>Stay active by asking mental questions. </w:t>
      </w:r>
      <w:r>
        <w:rPr>
          <w:rFonts w:ascii="Times New Roman" w:hAnsi="Times New Roman" w:cs="Times New Roman"/>
          <w:sz w:val="24"/>
          <w:szCs w:val="24"/>
        </w:rPr>
        <w:t>Active listening keeps you on your toes. Here are some questions you can ask yourself as you listen. What key point is the professor making? How does this fit with what I know from previous lectures? How is this lecture organized?</w:t>
      </w:r>
    </w:p>
    <w:p w14:paraId="6DC48770">
      <w:pPr>
        <w:pStyle w:val="26"/>
        <w:numPr>
          <w:ilvl w:val="0"/>
          <w:numId w:val="2"/>
        </w:numPr>
        <w:spacing w:after="0"/>
        <w:jc w:val="both"/>
        <w:rPr>
          <w:rFonts w:ascii="Times New Roman" w:hAnsi="Times New Roman" w:cs="Times New Roman"/>
          <w:sz w:val="24"/>
          <w:szCs w:val="24"/>
        </w:rPr>
      </w:pPr>
      <w:r>
        <w:rPr>
          <w:rFonts w:ascii="Times New Roman" w:hAnsi="Times New Roman" w:cs="Times New Roman"/>
          <w:b/>
          <w:sz w:val="24"/>
          <w:szCs w:val="24"/>
        </w:rPr>
        <w:t>Use the gap between the rate of speech and your rate of thought. </w:t>
      </w:r>
      <w:r>
        <w:rPr>
          <w:rFonts w:ascii="Times New Roman" w:hAnsi="Times New Roman" w:cs="Times New Roman"/>
          <w:sz w:val="24"/>
          <w:szCs w:val="24"/>
        </w:rPr>
        <w:t>You can think faster than the lecturer can talk. That's one reason your mind may tend to wander. All the above suggestions will help you keep your mind occupied and focused on what is being said. You can actually begin to anticipate what the professor is going to say as a way to keep your mind from straying. Your mind does have the capacity to listen, think, write and ponder at the same time, but it does take practice. Use signal words to keep anticipating.</w:t>
      </w:r>
    </w:p>
    <w:p w14:paraId="20CF1C42">
      <w:pPr>
        <w:spacing w:after="0"/>
        <w:jc w:val="both"/>
        <w:rPr>
          <w:rFonts w:ascii="Times New Roman" w:hAnsi="Times New Roman" w:cs="Times New Roman"/>
          <w:b/>
          <w:sz w:val="24"/>
          <w:szCs w:val="24"/>
        </w:rPr>
      </w:pPr>
    </w:p>
    <w:p w14:paraId="5BB68904">
      <w:pPr>
        <w:spacing w:after="0"/>
        <w:jc w:val="both"/>
        <w:rPr>
          <w:rFonts w:ascii="Times New Roman" w:hAnsi="Times New Roman" w:cs="Times New Roman"/>
          <w:b/>
          <w:sz w:val="24"/>
          <w:szCs w:val="24"/>
        </w:rPr>
      </w:pPr>
      <w:r>
        <w:rPr>
          <w:rFonts w:ascii="Times New Roman" w:hAnsi="Times New Roman" w:cs="Times New Roman"/>
          <w:b/>
          <w:sz w:val="24"/>
          <w:szCs w:val="24"/>
        </w:rPr>
        <w:t>Post listening activities</w:t>
      </w:r>
    </w:p>
    <w:p w14:paraId="42FA0EE5">
      <w:pPr>
        <w:pStyle w:val="26"/>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After the lecture, discuss what you have learnt with your classmates</w:t>
      </w:r>
    </w:p>
    <w:p w14:paraId="77AA2BD6">
      <w:pPr>
        <w:pStyle w:val="26"/>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Reflect on problem areas such as difficult technical words and concepts, and seek help early</w:t>
      </w:r>
    </w:p>
    <w:p w14:paraId="44142459">
      <w:pPr>
        <w:pStyle w:val="26"/>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Write a summary of the main points in your own words.</w:t>
      </w:r>
    </w:p>
    <w:p w14:paraId="64BC1EAE">
      <w:pPr>
        <w:spacing w:after="0"/>
        <w:jc w:val="both"/>
        <w:rPr>
          <w:rFonts w:ascii="Times New Roman" w:hAnsi="Times New Roman" w:cs="Times New Roman"/>
          <w:sz w:val="24"/>
          <w:szCs w:val="24"/>
        </w:rPr>
      </w:pPr>
    </w:p>
    <w:p w14:paraId="19C70603">
      <w:pPr>
        <w:spacing w:after="0"/>
        <w:jc w:val="both"/>
        <w:rPr>
          <w:rFonts w:ascii="Times New Roman" w:hAnsi="Times New Roman" w:cs="Times New Roman"/>
          <w:b/>
          <w:sz w:val="24"/>
          <w:szCs w:val="24"/>
        </w:rPr>
      </w:pPr>
      <w:r>
        <w:rPr>
          <w:rFonts w:ascii="Times New Roman" w:hAnsi="Times New Roman" w:cs="Times New Roman"/>
          <w:b/>
          <w:sz w:val="24"/>
          <w:szCs w:val="24"/>
        </w:rPr>
        <w:t>Hindrances to effective listening</w:t>
      </w:r>
    </w:p>
    <w:p w14:paraId="515B6B5E">
      <w:pPr>
        <w:spacing w:after="0"/>
        <w:jc w:val="both"/>
        <w:rPr>
          <w:rFonts w:ascii="Times New Roman" w:hAnsi="Times New Roman" w:cs="Times New Roman"/>
          <w:sz w:val="24"/>
          <w:szCs w:val="24"/>
        </w:rPr>
      </w:pPr>
      <w:r>
        <w:rPr>
          <w:rFonts w:ascii="Times New Roman" w:hAnsi="Times New Roman" w:cs="Times New Roman"/>
          <w:sz w:val="24"/>
          <w:szCs w:val="24"/>
        </w:rPr>
        <w:t xml:space="preserve">The effectiveness of this purposeful activity can be reduced by some physiological and environmental factors. </w:t>
      </w:r>
    </w:p>
    <w:p w14:paraId="2F4998C4">
      <w:pPr>
        <w:spacing w:after="0"/>
        <w:jc w:val="both"/>
        <w:rPr>
          <w:rFonts w:ascii="Times New Roman" w:hAnsi="Times New Roman" w:cs="Times New Roman"/>
          <w:sz w:val="24"/>
          <w:szCs w:val="24"/>
        </w:rPr>
      </w:pPr>
      <w:r>
        <w:rPr>
          <w:rFonts w:ascii="Times New Roman" w:hAnsi="Times New Roman" w:cs="Times New Roman"/>
          <w:sz w:val="24"/>
          <w:szCs w:val="24"/>
        </w:rPr>
        <w:t xml:space="preserve">Physiological factors come from the body and mind of the listener. Physiological factors are of two kinds: </w:t>
      </w:r>
      <w:r>
        <w:rPr>
          <w:rFonts w:ascii="Times New Roman" w:hAnsi="Times New Roman" w:cs="Times New Roman"/>
          <w:b/>
          <w:sz w:val="24"/>
          <w:szCs w:val="24"/>
        </w:rPr>
        <w:t>Physical</w:t>
      </w:r>
      <w:r>
        <w:rPr>
          <w:rFonts w:ascii="Times New Roman" w:hAnsi="Times New Roman" w:cs="Times New Roman"/>
          <w:sz w:val="24"/>
          <w:szCs w:val="24"/>
        </w:rPr>
        <w:t xml:space="preserve"> and </w:t>
      </w:r>
      <w:r>
        <w:rPr>
          <w:rFonts w:ascii="Times New Roman" w:hAnsi="Times New Roman" w:cs="Times New Roman"/>
          <w:b/>
          <w:i w:val="0"/>
          <w:sz w:val="24"/>
          <w:szCs w:val="24"/>
        </w:rPr>
        <w:t>Psychologica</w:t>
      </w:r>
      <w:r>
        <w:rPr>
          <w:rFonts w:ascii="Times New Roman" w:hAnsi="Times New Roman" w:cs="Times New Roman"/>
          <w:b/>
          <w:sz w:val="24"/>
          <w:szCs w:val="24"/>
        </w:rPr>
        <w:t>l. Physical</w:t>
      </w:r>
      <w:r>
        <w:rPr>
          <w:rFonts w:ascii="Times New Roman" w:hAnsi="Times New Roman" w:cs="Times New Roman"/>
          <w:sz w:val="24"/>
          <w:szCs w:val="24"/>
        </w:rPr>
        <w:t xml:space="preserve"> factors include </w:t>
      </w:r>
      <w:r>
        <w:rPr>
          <w:rFonts w:ascii="Times New Roman" w:hAnsi="Times New Roman" w:cs="Times New Roman"/>
          <w:b/>
          <w:sz w:val="24"/>
          <w:szCs w:val="24"/>
        </w:rPr>
        <w:t>hunger</w:t>
      </w:r>
      <w:r>
        <w:rPr>
          <w:rFonts w:ascii="Times New Roman" w:hAnsi="Times New Roman" w:cs="Times New Roman"/>
          <w:sz w:val="24"/>
          <w:szCs w:val="24"/>
        </w:rPr>
        <w:t xml:space="preserve">, </w:t>
      </w:r>
      <w:r>
        <w:rPr>
          <w:rFonts w:ascii="Times New Roman" w:hAnsi="Times New Roman" w:cs="Times New Roman"/>
          <w:b/>
          <w:sz w:val="24"/>
          <w:szCs w:val="24"/>
        </w:rPr>
        <w:t xml:space="preserve">illness, and hearing defects. </w:t>
      </w:r>
      <w:r>
        <w:rPr>
          <w:rFonts w:ascii="Times New Roman" w:hAnsi="Times New Roman" w:cs="Times New Roman"/>
          <w:sz w:val="24"/>
          <w:szCs w:val="24"/>
        </w:rPr>
        <w:t xml:space="preserve"> On the other hand, </w:t>
      </w:r>
      <w:r>
        <w:rPr>
          <w:rFonts w:ascii="Times New Roman" w:hAnsi="Times New Roman" w:cs="Times New Roman"/>
          <w:b/>
          <w:sz w:val="24"/>
          <w:szCs w:val="24"/>
        </w:rPr>
        <w:t xml:space="preserve">Psychological factors include mental fatigue, a wrong mental attitude, dislike/disrespect for the lecturer, anxiety, and </w:t>
      </w:r>
      <w:r>
        <w:rPr>
          <w:rFonts w:ascii="Times New Roman" w:hAnsi="Times New Roman" w:cs="Times New Roman"/>
          <w:i/>
          <w:sz w:val="24"/>
          <w:szCs w:val="24"/>
        </w:rPr>
        <w:t>emotional trauma</w:t>
      </w:r>
      <w:r>
        <w:rPr>
          <w:rFonts w:ascii="Times New Roman" w:hAnsi="Times New Roman" w:cs="Times New Roman"/>
          <w:sz w:val="24"/>
          <w:szCs w:val="24"/>
        </w:rPr>
        <w:t xml:space="preserve">. Environmental factors are those external to the listener. A stuffy, uncomfortable classroom, noise from the corridor, other distractions, an inaudible speaker, hard seats, etc.  </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Ezra SIL"/>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Ezra SIL">
    <w:panose1 w:val="02000400000000000000"/>
    <w:charset w:val="00"/>
    <w:family w:val="auto"/>
    <w:pitch w:val="default"/>
    <w:sig w:usb0="00000803" w:usb1="40000000" w:usb2="00000000" w:usb3="00000000" w:csb0="0000002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E8130B"/>
    <w:multiLevelType w:val="multilevel"/>
    <w:tmpl w:val="15E813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092348B"/>
    <w:multiLevelType w:val="multilevel"/>
    <w:tmpl w:val="509234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5B939C6"/>
    <w:multiLevelType w:val="multilevel"/>
    <w:tmpl w:val="65B939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D0D"/>
    <w:rsid w:val="000D5BDC"/>
    <w:rsid w:val="001D6F35"/>
    <w:rsid w:val="001E0A82"/>
    <w:rsid w:val="003078B9"/>
    <w:rsid w:val="003E47AD"/>
    <w:rsid w:val="00416B02"/>
    <w:rsid w:val="00471049"/>
    <w:rsid w:val="00496CDD"/>
    <w:rsid w:val="00501DBC"/>
    <w:rsid w:val="00557908"/>
    <w:rsid w:val="005618D4"/>
    <w:rsid w:val="00587D0D"/>
    <w:rsid w:val="005C6998"/>
    <w:rsid w:val="005F452A"/>
    <w:rsid w:val="00621C68"/>
    <w:rsid w:val="0062571F"/>
    <w:rsid w:val="007E6028"/>
    <w:rsid w:val="008466C7"/>
    <w:rsid w:val="00895AD8"/>
    <w:rsid w:val="008A36E2"/>
    <w:rsid w:val="008F3F15"/>
    <w:rsid w:val="009901AA"/>
    <w:rsid w:val="009B3B51"/>
    <w:rsid w:val="009E5167"/>
    <w:rsid w:val="00B541D8"/>
    <w:rsid w:val="00B7057D"/>
    <w:rsid w:val="00C70144"/>
    <w:rsid w:val="00C933D5"/>
    <w:rsid w:val="00EF075E"/>
    <w:rsid w:val="00F46E59"/>
    <w:rsid w:val="267D536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GB" w:eastAsia="en-GB" w:bidi="ar-SA"/>
    </w:rPr>
  </w:style>
  <w:style w:type="paragraph" w:styleId="2">
    <w:name w:val="heading 1"/>
    <w:basedOn w:val="1"/>
    <w:next w:val="1"/>
    <w:link w:val="12"/>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4"/>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3"/>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5"/>
    <w:semiHidden/>
    <w:unhideWhenUsed/>
    <w:uiPriority w:val="99"/>
    <w:pPr>
      <w:spacing w:after="0" w:line="240" w:lineRule="auto"/>
    </w:pPr>
    <w:rPr>
      <w:rFonts w:ascii="Tahoma" w:hAnsi="Tahoma" w:cs="Tahoma"/>
      <w:sz w:val="16"/>
      <w:szCs w:val="16"/>
    </w:rPr>
  </w:style>
  <w:style w:type="character" w:styleId="8">
    <w:name w:val="Emphasis"/>
    <w:basedOn w:val="5"/>
    <w:qFormat/>
    <w:uiPriority w:val="20"/>
    <w:rPr>
      <w:i/>
      <w:iCs/>
    </w:rPr>
  </w:style>
  <w:style w:type="character" w:styleId="9">
    <w:name w:val="Hyperlink"/>
    <w:basedOn w:val="5"/>
    <w:unhideWhenUsed/>
    <w:uiPriority w:val="99"/>
    <w:rPr>
      <w:color w:val="0000FF"/>
      <w:u w:val="single"/>
    </w:rPr>
  </w:style>
  <w:style w:type="paragraph" w:styleId="10">
    <w:name w:val="Normal (Web)"/>
    <w:basedOn w:val="1"/>
    <w:semiHidden/>
    <w:unhideWhenUsed/>
    <w:uiPriority w:val="99"/>
    <w:pPr>
      <w:spacing w:before="100" w:beforeAutospacing="1" w:after="100" w:afterAutospacing="1" w:line="240" w:lineRule="auto"/>
    </w:pPr>
    <w:rPr>
      <w:rFonts w:ascii="Times New Roman" w:hAnsi="Times New Roman" w:cs="Times New Roman"/>
      <w:sz w:val="24"/>
      <w:szCs w:val="24"/>
    </w:rPr>
  </w:style>
  <w:style w:type="character" w:styleId="11">
    <w:name w:val="Strong"/>
    <w:basedOn w:val="5"/>
    <w:qFormat/>
    <w:uiPriority w:val="22"/>
    <w:rPr>
      <w:b/>
      <w:bCs/>
    </w:rPr>
  </w:style>
  <w:style w:type="character" w:customStyle="1" w:styleId="12">
    <w:name w:val="Heading 1 Char"/>
    <w:basedOn w:val="5"/>
    <w:link w:val="2"/>
    <w:uiPriority w:val="9"/>
    <w:rPr>
      <w:rFonts w:asciiTheme="majorHAnsi" w:hAnsiTheme="majorHAnsi" w:eastAsiaTheme="majorEastAsia" w:cstheme="majorBidi"/>
      <w:color w:val="2F5597" w:themeColor="accent1" w:themeShade="BF"/>
      <w:sz w:val="32"/>
      <w:szCs w:val="32"/>
    </w:rPr>
  </w:style>
  <w:style w:type="character" w:customStyle="1" w:styleId="13">
    <w:name w:val="Heading 3 Char"/>
    <w:basedOn w:val="5"/>
    <w:link w:val="4"/>
    <w:semiHidden/>
    <w:uiPriority w:val="9"/>
    <w:rPr>
      <w:rFonts w:asciiTheme="majorHAnsi" w:hAnsiTheme="majorHAnsi" w:eastAsiaTheme="majorEastAsia" w:cstheme="majorBidi"/>
      <w:color w:val="203864" w:themeColor="accent1" w:themeShade="80"/>
      <w:sz w:val="24"/>
      <w:szCs w:val="24"/>
    </w:rPr>
  </w:style>
  <w:style w:type="character" w:customStyle="1" w:styleId="14">
    <w:name w:val="Heading 2 Char"/>
    <w:basedOn w:val="5"/>
    <w:link w:val="3"/>
    <w:semiHidden/>
    <w:uiPriority w:val="9"/>
    <w:rPr>
      <w:rFonts w:asciiTheme="majorHAnsi" w:hAnsiTheme="majorHAnsi" w:eastAsiaTheme="majorEastAsia" w:cstheme="majorBidi"/>
      <w:color w:val="2F5597" w:themeColor="accent1" w:themeShade="BF"/>
      <w:sz w:val="26"/>
      <w:szCs w:val="26"/>
    </w:rPr>
  </w:style>
  <w:style w:type="character" w:customStyle="1" w:styleId="15">
    <w:name w:val="pull-right"/>
    <w:basedOn w:val="5"/>
    <w:uiPriority w:val="0"/>
  </w:style>
  <w:style w:type="character" w:customStyle="1" w:styleId="16">
    <w:name w:val="apple-converted-space"/>
    <w:basedOn w:val="5"/>
    <w:uiPriority w:val="0"/>
  </w:style>
  <w:style w:type="paragraph" w:customStyle="1" w:styleId="17">
    <w:name w:val="lead"/>
    <w:basedOn w:val="1"/>
    <w:uiPriority w:val="0"/>
    <w:pPr>
      <w:spacing w:before="100" w:beforeAutospacing="1" w:after="100" w:afterAutospacing="1" w:line="240" w:lineRule="auto"/>
    </w:pPr>
    <w:rPr>
      <w:rFonts w:ascii="Times New Roman" w:hAnsi="Times New Roman" w:cs="Times New Roman"/>
      <w:sz w:val="24"/>
      <w:szCs w:val="24"/>
    </w:rPr>
  </w:style>
  <w:style w:type="paragraph" w:customStyle="1" w:styleId="18">
    <w:name w:val="first-para"/>
    <w:basedOn w:val="1"/>
    <w:uiPriority w:val="0"/>
    <w:pPr>
      <w:spacing w:before="100" w:beforeAutospacing="1" w:after="100" w:afterAutospacing="1" w:line="240" w:lineRule="auto"/>
    </w:pPr>
    <w:rPr>
      <w:rFonts w:ascii="Times New Roman" w:hAnsi="Times New Roman" w:cs="Times New Roman"/>
      <w:sz w:val="24"/>
      <w:szCs w:val="24"/>
    </w:rPr>
  </w:style>
  <w:style w:type="paragraph" w:customStyle="1" w:styleId="19">
    <w:name w:val="bulb-smtxt"/>
    <w:basedOn w:val="1"/>
    <w:uiPriority w:val="0"/>
    <w:pPr>
      <w:spacing w:before="100" w:beforeAutospacing="1" w:after="100" w:afterAutospacing="1" w:line="240" w:lineRule="auto"/>
    </w:pPr>
    <w:rPr>
      <w:rFonts w:ascii="Times New Roman" w:hAnsi="Times New Roman" w:cs="Times New Roman"/>
      <w:sz w:val="24"/>
      <w:szCs w:val="24"/>
    </w:rPr>
  </w:style>
  <w:style w:type="paragraph" w:customStyle="1" w:styleId="20">
    <w:name w:val="book-smtxt"/>
    <w:basedOn w:val="1"/>
    <w:uiPriority w:val="0"/>
    <w:pPr>
      <w:spacing w:before="100" w:beforeAutospacing="1" w:after="100" w:afterAutospacing="1" w:line="240" w:lineRule="auto"/>
    </w:pPr>
    <w:rPr>
      <w:rFonts w:ascii="Times New Roman" w:hAnsi="Times New Roman" w:cs="Times New Roman"/>
      <w:sz w:val="24"/>
      <w:szCs w:val="24"/>
    </w:rPr>
  </w:style>
  <w:style w:type="paragraph" w:customStyle="1" w:styleId="21">
    <w:name w:val="HTML Top of Form"/>
    <w:basedOn w:val="1"/>
    <w:next w:val="1"/>
    <w:link w:val="22"/>
    <w:semiHidden/>
    <w:unhideWhenUsed/>
    <w:uiPriority w:val="99"/>
    <w:pPr>
      <w:pBdr>
        <w:bottom w:val="single" w:color="auto" w:sz="6" w:space="1"/>
      </w:pBdr>
      <w:spacing w:after="0" w:line="240" w:lineRule="auto"/>
      <w:jc w:val="center"/>
    </w:pPr>
    <w:rPr>
      <w:rFonts w:ascii="Arial" w:hAnsi="Arial" w:cs="Arial"/>
      <w:vanish/>
      <w:sz w:val="16"/>
      <w:szCs w:val="16"/>
    </w:rPr>
  </w:style>
  <w:style w:type="character" w:customStyle="1" w:styleId="22">
    <w:name w:val="z-Top of Form Char"/>
    <w:basedOn w:val="5"/>
    <w:link w:val="21"/>
    <w:semiHidden/>
    <w:uiPriority w:val="99"/>
    <w:rPr>
      <w:rFonts w:ascii="Arial" w:hAnsi="Arial" w:cs="Arial"/>
      <w:vanish/>
      <w:sz w:val="16"/>
      <w:szCs w:val="16"/>
    </w:rPr>
  </w:style>
  <w:style w:type="paragraph" w:customStyle="1" w:styleId="23">
    <w:name w:val="HTML Bottom of Form"/>
    <w:basedOn w:val="1"/>
    <w:next w:val="1"/>
    <w:link w:val="24"/>
    <w:semiHidden/>
    <w:unhideWhenUsed/>
    <w:uiPriority w:val="99"/>
    <w:pPr>
      <w:pBdr>
        <w:top w:val="single" w:color="auto" w:sz="6" w:space="1"/>
      </w:pBdr>
      <w:spacing w:after="0" w:line="240" w:lineRule="auto"/>
      <w:jc w:val="center"/>
    </w:pPr>
    <w:rPr>
      <w:rFonts w:ascii="Arial" w:hAnsi="Arial" w:cs="Arial"/>
      <w:vanish/>
      <w:sz w:val="16"/>
      <w:szCs w:val="16"/>
    </w:rPr>
  </w:style>
  <w:style w:type="character" w:customStyle="1" w:styleId="24">
    <w:name w:val="z-Bottom of Form Char"/>
    <w:basedOn w:val="5"/>
    <w:link w:val="23"/>
    <w:semiHidden/>
    <w:uiPriority w:val="99"/>
    <w:rPr>
      <w:rFonts w:ascii="Arial" w:hAnsi="Arial" w:cs="Arial"/>
      <w:vanish/>
      <w:sz w:val="16"/>
      <w:szCs w:val="16"/>
    </w:rPr>
  </w:style>
  <w:style w:type="character" w:customStyle="1" w:styleId="25">
    <w:name w:val="Balloon Text Char"/>
    <w:basedOn w:val="5"/>
    <w:link w:val="7"/>
    <w:semiHidden/>
    <w:uiPriority w:val="99"/>
    <w:rPr>
      <w:rFonts w:ascii="Tahoma" w:hAnsi="Tahoma" w:cs="Tahoma"/>
      <w:sz w:val="16"/>
      <w:szCs w:val="16"/>
    </w:rPr>
  </w:style>
  <w:style w:type="paragraph" w:styleId="2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1248</Words>
  <Characters>7120</Characters>
  <Lines>59</Lines>
  <Paragraphs>16</Paragraphs>
  <TotalTime>1</TotalTime>
  <ScaleCrop>false</ScaleCrop>
  <LinksUpToDate>false</LinksUpToDate>
  <CharactersWithSpaces>8352</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2025-12-09T16:35:00Z</dcterms:created>
  <dc:creator>Dr. Funmi O Olubode-Sawe</dc:creator>
  <cp:lastModifiedBy>Mercy Church Akure</cp:lastModifiedBy>
  <cp:lastPrinted>2017-03-14T05:12:00Z</cp:lastPrinted>
  <dcterms:modified xsi:type="dcterms:W3CDTF">2026-01-04T00:31:28Z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0b8ba9bf-b11f-4173-a589-3bda54fa6daf</vt:lpwstr>
  </property>
  <property fmtid="{D5CDD505-2E9C-101B-9397-08002B2CF9AE}" pid="3" name="KSOProductBuildVer">
    <vt:lpwstr>2057-12.2.0.23158</vt:lpwstr>
  </property>
  <property fmtid="{D5CDD505-2E9C-101B-9397-08002B2CF9AE}" pid="4" name="ICV">
    <vt:lpwstr>E67B7C9FE32243F7A2AED17945BB8422_12</vt:lpwstr>
  </property>
</Properties>
</file>