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976.377952755906"/>
        <w:rPr/>
      </w:pPr>
      <w:r w:rsidDel="00000000" w:rsidR="00000000" w:rsidRPr="00000000">
        <w:rPr>
          <w:rtl w:val="0"/>
        </w:rPr>
        <w:t xml:space="preserve">Resize the document to fit your screen using the zoom function on the menu above. </w:t>
      </w:r>
    </w:p>
    <w:tbl>
      <w:tblPr>
        <w:tblStyle w:val="Table1"/>
        <w:tblW w:w="182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90"/>
        <w:gridCol w:w="1590"/>
        <w:gridCol w:w="1440"/>
        <w:gridCol w:w="1590"/>
        <w:gridCol w:w="1590"/>
        <w:gridCol w:w="1590"/>
        <w:gridCol w:w="1590"/>
        <w:gridCol w:w="1590"/>
        <w:gridCol w:w="2010"/>
        <w:gridCol w:w="2010"/>
        <w:gridCol w:w="105"/>
        <w:tblGridChange w:id="0">
          <w:tblGrid>
            <w:gridCol w:w="1590"/>
            <w:gridCol w:w="1590"/>
            <w:gridCol w:w="1590"/>
            <w:gridCol w:w="1440"/>
            <w:gridCol w:w="1590"/>
            <w:gridCol w:w="1590"/>
            <w:gridCol w:w="1590"/>
            <w:gridCol w:w="1590"/>
            <w:gridCol w:w="1590"/>
            <w:gridCol w:w="2010"/>
            <w:gridCol w:w="2010"/>
            <w:gridCol w:w="105"/>
          </w:tblGrid>
        </w:tblGridChange>
      </w:tblGrid>
      <w:tr>
        <w:trPr>
          <w:cantSplit w:val="0"/>
          <w:trHeight w:val="1439.716535433071" w:hRule="atLeast"/>
          <w:tblHeader w:val="0"/>
        </w:trPr>
        <w:tc>
          <w:tcPr>
            <w:gridSpan w:val="8"/>
            <w:tcBorders>
              <w:top w:color="000000" w:space="0" w:sz="24" w:val="single"/>
              <w:left w:color="000000" w:space="0" w:sz="24" w:val="single"/>
              <w:bottom w:color="000000" w:space="0" w:sz="24" w:val="single"/>
              <w:right w:color="000000" w:space="0" w:sz="24" w:val="single"/>
            </w:tcBorders>
            <w:shd w:fill="e0b7d4" w:val="clear"/>
            <w:tcMar>
              <w:top w:w="269.85826771653547" w:type="dxa"/>
              <w:left w:w="269.85826771653547" w:type="dxa"/>
              <w:bottom w:w="269.85826771653547" w:type="dxa"/>
              <w:right w:w="269.85826771653547" w:type="dxa"/>
            </w:tcMar>
            <w:vAlign w:val="bottom"/>
          </w:tcPr>
          <w:p w:rsidR="00000000" w:rsidDel="00000000" w:rsidP="00000000" w:rsidRDefault="00000000" w:rsidRPr="00000000" w14:paraId="00000002">
            <w:pPr>
              <w:pStyle w:val="Title"/>
              <w:rPr/>
            </w:pPr>
            <w:bookmarkStart w:colFirst="0" w:colLast="0" w:name="_taicsqg23t4d" w:id="0"/>
            <w:bookmarkEnd w:id="0"/>
            <w:r w:rsidDel="00000000" w:rsidR="00000000" w:rsidRPr="00000000">
              <w:rPr>
                <w:rtl w:val="0"/>
              </w:rPr>
              <w:t xml:space="preserve">High quality explanation </w:t>
            </w:r>
            <w:r w:rsidDel="00000000" w:rsidR="00000000" w:rsidRPr="00000000">
              <w:rPr>
                <w:rtl w:val="0"/>
              </w:rPr>
            </w:r>
          </w:p>
        </w:tc>
        <w:tc>
          <w:tcPr>
            <w:gridSpan w:val="4"/>
            <w:tcBorders>
              <w:top w:color="000000" w:space="0" w:sz="24" w:val="single"/>
              <w:left w:color="e0b7d4" w:space="0" w:sz="24" w:val="single"/>
              <w:bottom w:color="000000" w:space="0" w:sz="24" w:val="single"/>
              <w:right w:color="000000" w:space="0" w:sz="24" w:val="single"/>
            </w:tcBorders>
            <w:shd w:fill="e0b7d4" w:val="clear"/>
            <w:tcMar>
              <w:top w:w="-13.606299212598428" w:type="dxa"/>
              <w:left w:w="-13.606299212598428" w:type="dxa"/>
              <w:bottom w:w="-13.606299212598428" w:type="dxa"/>
              <w:right w:w="-13.606299212598428" w:type="dxa"/>
            </w:tcMar>
            <w:vAlign w:val="bottom"/>
          </w:tcPr>
          <w:p w:rsidR="00000000" w:rsidDel="00000000" w:rsidP="00000000" w:rsidRDefault="00000000" w:rsidRPr="00000000" w14:paraId="0000000A">
            <w:pPr>
              <w:jc w:val="right"/>
              <w:rPr/>
            </w:pPr>
            <w:r w:rsidDel="00000000" w:rsidR="00000000" w:rsidRPr="00000000">
              <w:rPr/>
              <w:drawing>
                <wp:inline distB="114300" distT="114300" distL="114300" distR="114300">
                  <wp:extent cx="2147888" cy="2096006"/>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7888" cy="2096006"/>
                          </a:xfrm>
                          <a:prstGeom prst="rect"/>
                          <a:ln/>
                        </pic:spPr>
                      </pic:pic>
                    </a:graphicData>
                  </a:graphic>
                </wp:inline>
              </w:drawing>
            </w:r>
            <w:r w:rsidDel="00000000" w:rsidR="00000000" w:rsidRPr="00000000">
              <w:rPr>
                <w:rtl w:val="0"/>
              </w:rPr>
            </w:r>
          </w:p>
        </w:tc>
      </w:tr>
      <w:tr>
        <w:trPr>
          <w:cantSplit w:val="0"/>
          <w:trHeight w:val="510" w:hRule="atLeast"/>
          <w:tblHeader w:val="0"/>
        </w:trPr>
        <w:tc>
          <w:tcPr>
            <w:gridSpan w:val="12"/>
            <w:tcBorders>
              <w:top w:color="000000" w:space="0" w:sz="24"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t xml:space="preserve">Explanation is a pedagogical strategy that involves providing pupils with clear and concise information about a particular topic or concept. The goal is to help pupils understand and engage with the material being taught by ensuring a sharp focus on optimising the intrinsic load. </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t xml:space="preserve">Effective explanation (alongside feedback) has been proven through a growing body of evidence to have more impact on learning than many other classroom strategies.</w:t>
            </w:r>
            <w:r w:rsidDel="00000000" w:rsidR="00000000" w:rsidRPr="00000000">
              <w:rPr>
                <w:vertAlign w:val="superscript"/>
              </w:rPr>
              <w:footnoteReference w:customMarkFollows="0" w:id="0"/>
            </w:r>
            <w:r w:rsidDel="00000000" w:rsidR="00000000" w:rsidRPr="00000000">
              <w:rPr>
                <w:rtl w:val="0"/>
              </w:rPr>
              <w:t xml:space="preserve"> Indeed, Rosenshine stated that:</w:t>
            </w:r>
          </w:p>
          <w:p w:rsidR="00000000" w:rsidDel="00000000" w:rsidP="00000000" w:rsidRDefault="00000000" w:rsidRPr="00000000" w14:paraId="00000012">
            <w:pPr>
              <w:spacing w:line="276" w:lineRule="auto"/>
              <w:jc w:val="center"/>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3">
            <w:pPr>
              <w:spacing w:line="276"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most effective teachers spend double the amount of time explaining, giving examples, demonstrating and asking questions than the least effective teachers’. </w:t>
            </w:r>
            <w:r w:rsidDel="00000000" w:rsidR="00000000" w:rsidRPr="00000000">
              <w:rPr>
                <w:rFonts w:ascii="Lexend" w:cs="Lexend" w:eastAsia="Lexend" w:hAnsi="Lexend"/>
                <w:b w:val="1"/>
                <w:bCs w:val="1"/>
                <w:vertAlign w:val="superscript"/>
              </w:rPr>
              <w:footnoteReference w:customMarkFollows="0" w:id="1"/>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Teachers communicate through speech, text, non-verbal gestures and their resources continuously throughout a lesson. The quality of this communication is paramount and much of it is likely to involve explanation: from the introduction of a new concept, the modelling of a task, corrections of behaviours and written instructions which support practice. Whatever the method, effective explanation is at the centre of learning. </w:t>
            </w:r>
          </w:p>
        </w:tc>
      </w:tr>
      <w:tr>
        <w:trPr>
          <w:cantSplit w:val="0"/>
          <w:trHeight w:val="945" w:hRule="atLeast"/>
          <w:tblHeader w:val="0"/>
        </w:trPr>
        <w:tc>
          <w:tcPr>
            <w:gridSpan w:val="12"/>
            <w:tcBorders>
              <w:top w:color="ffffff" w:space="0" w:sz="8" w:val="single"/>
              <w:left w:color="ffffff" w:space="0" w:sz="8" w:val="single"/>
              <w:bottom w:color="f3f3f3" w:space="0" w:sz="8" w:val="single"/>
              <w:right w:color="ffffff" w:space="0" w:sz="8" w:val="single"/>
            </w:tcBorders>
            <w:shd w:fill="auto" w:val="clear"/>
            <w:tcMar>
              <w:top w:w="-13.606299212598428" w:type="dxa"/>
              <w:left w:w="-13.606299212598428" w:type="dxa"/>
              <w:bottom w:w="-13.606299212598428" w:type="dxa"/>
              <w:right w:w="-13.606299212598428" w:type="dxa"/>
            </w:tcMar>
            <w:vAlign w:val="bottom"/>
          </w:tcPr>
          <w:p w:rsidR="00000000" w:rsidDel="00000000" w:rsidP="00000000" w:rsidRDefault="00000000" w:rsidRPr="00000000" w14:paraId="00000021">
            <w:pPr>
              <w:pStyle w:val="Heading2"/>
              <w:rPr/>
            </w:pPr>
            <w:bookmarkStart w:colFirst="0" w:colLast="0" w:name="_49x2ik5" w:id="3"/>
            <w:bookmarkEnd w:id="3"/>
            <w:r w:rsidDel="00000000" w:rsidR="00000000" w:rsidRPr="00000000">
              <w:rPr>
                <w:rtl w:val="0"/>
              </w:rPr>
              <w:t xml:space="preserve">Types of knowledge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is important to differentiate between the three types of knowledge. This supports richer decisions around the approach to explanation taken. The balance between substantive, disciplinary and procedural knowledge may vary by subject, by unit and between lessons. </w:t>
            </w:r>
          </w:p>
          <w:p w:rsidR="00000000" w:rsidDel="00000000" w:rsidP="00000000" w:rsidRDefault="00000000" w:rsidRPr="00000000" w14:paraId="00000024">
            <w:pPr>
              <w:rPr/>
            </w:pPr>
            <w:r w:rsidDel="00000000" w:rsidR="00000000" w:rsidRPr="00000000">
              <w:rPr>
                <w:rtl w:val="0"/>
              </w:rPr>
            </w:r>
          </w:p>
        </w:tc>
      </w:tr>
      <w:tr>
        <w:trPr>
          <w:cantSplit w:val="0"/>
          <w:trHeight w:val="732.1276595744682" w:hRule="atLeast"/>
          <w:tblHeader w:val="0"/>
        </w:trPr>
        <w:tc>
          <w:tcPr>
            <w:gridSpan w:val="4"/>
            <w:tcBorders>
              <w:top w:color="f3f3f3" w:space="0" w:sz="8" w:val="single"/>
              <w:left w:color="f3f3f3" w:space="0" w:sz="8" w:val="single"/>
              <w:bottom w:color="f3f3f3" w:space="0" w:sz="8" w:val="single"/>
              <w:right w:color="f3f3f3" w:space="0" w:sz="8" w:val="single"/>
            </w:tcBorders>
            <w:shd w:fill="f3f3f3" w:val="clear"/>
            <w:tcMar>
              <w:top w:w="43.08661417322835" w:type="dxa"/>
              <w:left w:w="43.08661417322835" w:type="dxa"/>
              <w:bottom w:w="43.08661417322835" w:type="dxa"/>
              <w:right w:w="43.08661417322835" w:type="dxa"/>
            </w:tcMar>
          </w:tcPr>
          <w:p w:rsidR="00000000" w:rsidDel="00000000" w:rsidP="00000000" w:rsidRDefault="00000000" w:rsidRPr="00000000" w14:paraId="00000030">
            <w:pP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Substantive knowledge </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tcPr>
          <w:p w:rsidR="00000000" w:rsidDel="00000000" w:rsidP="00000000" w:rsidRDefault="00000000" w:rsidRPr="00000000" w14:paraId="00000034">
            <w:pPr>
              <w:widowControl w:val="0"/>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Disciplinary knowledge </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tcPr>
          <w:p w:rsidR="00000000" w:rsidDel="00000000" w:rsidP="00000000" w:rsidRDefault="00000000" w:rsidRPr="00000000" w14:paraId="00000038">
            <w:pPr>
              <w:widowControl w:val="0"/>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Procedural knowledge </w:t>
            </w:r>
          </w:p>
          <w:p w:rsidR="00000000" w:rsidDel="00000000" w:rsidP="00000000" w:rsidRDefault="00000000" w:rsidRPr="00000000" w14:paraId="00000039">
            <w:pPr>
              <w:widowControl w:val="0"/>
              <w:rPr/>
            </w:pPr>
            <w:r w:rsidDel="00000000" w:rsidR="00000000" w:rsidRPr="00000000">
              <w:rPr>
                <w:rtl w:val="0"/>
              </w:rPr>
            </w:r>
          </w:p>
        </w:tc>
      </w:tr>
      <w:tr>
        <w:trPr>
          <w:cantSplit w:val="0"/>
          <w:trHeight w:val="732.1276595744682" w:hRule="atLeast"/>
          <w:tblHeader w:val="0"/>
        </w:trPr>
        <w:tc>
          <w:tcPr>
            <w:gridSpan w:val="4"/>
            <w:tcBorders>
              <w:top w:color="f3f3f3" w:space="0" w:sz="8" w:val="single"/>
              <w:left w:color="f3f3f3" w:space="0" w:sz="8" w:val="single"/>
              <w:bottom w:color="f3f3f3" w:space="0" w:sz="8" w:val="single"/>
              <w:right w:color="f3f3f3" w:space="0" w:sz="8" w:val="single"/>
            </w:tcBorders>
            <w:shd w:fill="f3f3f3" w:val="clear"/>
            <w:tcMar>
              <w:top w:w="43.08661417322835" w:type="dxa"/>
              <w:left w:w="43.08661417322835" w:type="dxa"/>
              <w:bottom w:w="43.08661417322835" w:type="dxa"/>
              <w:right w:w="43.08661417322835" w:type="dxa"/>
            </w:tcMar>
          </w:tcPr>
          <w:p w:rsidR="00000000" w:rsidDel="00000000" w:rsidP="00000000" w:rsidRDefault="00000000" w:rsidRPr="00000000" w14:paraId="0000003D">
            <w:pPr>
              <w:spacing w:line="276" w:lineRule="auto"/>
              <w:rPr/>
            </w:pPr>
            <w:r w:rsidDel="00000000" w:rsidR="00000000" w:rsidRPr="00000000">
              <w:rPr>
                <w:rtl w:val="0"/>
              </w:rPr>
              <w:t xml:space="preserve">Substantive knowledge refers to the content knowledge of a particular subject, such as facts, concepts, and theories. It is the foundational knowledge that students need to acquire in order to understand and engage with a subject.</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rPr/>
            </w:pPr>
            <w:r w:rsidDel="00000000" w:rsidR="00000000" w:rsidRPr="00000000">
              <w:rPr>
                <w:rtl w:val="0"/>
              </w:rPr>
              <w:t xml:space="preserve">Disciplinary knowledge, on the other hand, refers to the ways of thinking, reasoning, and communicating that are unique to a particular academic discipline or field of study. It includes the methods, approaches, and practices used to investigate, analyse, and explain concepts and ideas within a subject.</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45">
            <w:pPr>
              <w:spacing w:line="276" w:lineRule="auto"/>
              <w:rPr/>
            </w:pPr>
            <w:r w:rsidDel="00000000" w:rsidR="00000000" w:rsidRPr="00000000">
              <w:rPr>
                <w:rtl w:val="0"/>
              </w:rPr>
              <w:t xml:space="preserve">Procedural knowledge refers to knowledge of how to do something, such as a skill or technique, and typically involves the ability to perform a sequence of actions in order to achieve a particular goal. It is often referred to as ‘knowing how’ as opposed to ‘knowing that’ or ‘knowing why’. </w:t>
            </w:r>
          </w:p>
        </w:tc>
      </w:tr>
      <w:tr>
        <w:trPr>
          <w:cantSplit w:val="0"/>
          <w:trHeight w:val="732.1276595744682" w:hRule="atLeast"/>
          <w:tblHeader w:val="0"/>
        </w:trPr>
        <w:tc>
          <w:tcPr>
            <w:gridSpan w:val="4"/>
            <w:tcBorders>
              <w:top w:color="f3f3f3" w:space="0" w:sz="8" w:val="single"/>
              <w:left w:color="ffffff" w:space="0" w:sz="8" w:val="single"/>
              <w:bottom w:color="ffffff" w:space="0" w:sz="8" w:val="single"/>
              <w:right w:color="ffffff" w:space="0" w:sz="8" w:val="single"/>
            </w:tcBorders>
            <w:shd w:fill="d9ead3" w:val="clear"/>
            <w:tcMar>
              <w:top w:w="43.08661417322835" w:type="dxa"/>
              <w:left w:w="43.08661417322835" w:type="dxa"/>
              <w:bottom w:w="43.08661417322835" w:type="dxa"/>
              <w:right w:w="43.08661417322835" w:type="dxa"/>
            </w:tcMar>
          </w:tcPr>
          <w:p w:rsidR="00000000" w:rsidDel="00000000" w:rsidP="00000000" w:rsidRDefault="00000000" w:rsidRPr="00000000" w14:paraId="00000049">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04A">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In maths, substantive knowledge might include the concepts of addition, subtraction, multiplication, and division, as well as the properties of numbers and equations.</w:t>
            </w:r>
          </w:p>
        </w:tc>
        <w:tc>
          <w:tcPr>
            <w:gridSpan w:val="4"/>
            <w:tcBorders>
              <w:top w:color="f3f3f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050">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1">
            <w:pPr>
              <w:spacing w:line="276" w:lineRule="auto"/>
              <w:rPr/>
            </w:pPr>
            <w:r w:rsidDel="00000000" w:rsidR="00000000" w:rsidRPr="00000000">
              <w:rPr>
                <w:rtl w:val="0"/>
              </w:rPr>
              <w:t xml:space="preserve">In history, disciplinary knowledge is knowledge of how historians investigate the past, and construct historical claims, arguments and accounts.</w:t>
            </w:r>
          </w:p>
        </w:tc>
        <w:tc>
          <w:tcPr>
            <w:gridSpan w:val="4"/>
            <w:tcBorders>
              <w:top w:color="f3f3f3" w:space="0" w:sz="8" w:val="single"/>
              <w:left w:color="ffffff" w:space="0" w:sz="8" w:val="single"/>
              <w:bottom w:color="ffffff" w:space="0" w:sz="8" w:val="single"/>
              <w:right w:color="ffffff"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5">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056">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57">
            <w:pPr>
              <w:spacing w:line="276" w:lineRule="auto"/>
              <w:rPr/>
            </w:pPr>
            <w:r w:rsidDel="00000000" w:rsidR="00000000" w:rsidRPr="00000000">
              <w:rPr>
                <w:rtl w:val="0"/>
              </w:rPr>
              <w:t xml:space="preserve">In computer science this would be able to implement a repeat in a programming language.</w:t>
            </w:r>
          </w:p>
        </w:tc>
      </w:tr>
      <w:tr>
        <w:trPr>
          <w:cantSplit w:val="0"/>
          <w:trHeight w:val="440" w:hRule="atLeast"/>
          <w:tblHeader w:val="0"/>
        </w:trPr>
        <w:tc>
          <w:tcPr>
            <w:gridSpan w:val="12"/>
            <w:tcBorders>
              <w:top w:color="ffffff" w:space="0" w:sz="8" w:val="single"/>
              <w:left w:color="ffffff" w:space="0" w:sz="8" w:val="single"/>
              <w:right w:color="ffffff" w:space="0" w:sz="8" w:val="single"/>
            </w:tcBorders>
            <w:tcMar>
              <w:top w:w="43.08661417322835" w:type="dxa"/>
              <w:left w:w="43.08661417322835" w:type="dxa"/>
              <w:bottom w:w="43.08661417322835" w:type="dxa"/>
              <w:right w:w="43.08661417322835" w:type="dxa"/>
            </w:tcMar>
          </w:tcPr>
          <w:p w:rsidR="00000000" w:rsidDel="00000000" w:rsidP="00000000" w:rsidRDefault="00000000" w:rsidRPr="00000000" w14:paraId="0000005B">
            <w:pPr>
              <w:ind w:left="720" w:hanging="360"/>
              <w:rPr/>
            </w:pPr>
            <w:r w:rsidDel="00000000" w:rsidR="00000000" w:rsidRPr="00000000">
              <w:rPr>
                <w:rtl w:val="0"/>
              </w:rPr>
            </w:r>
          </w:p>
        </w:tc>
      </w:tr>
      <w:tr>
        <w:trPr>
          <w:cantSplit w:val="0"/>
          <w:trHeight w:val="630" w:hRule="atLeast"/>
          <w:tblHeader w:val="0"/>
        </w:trPr>
        <w:tc>
          <w:tcPr>
            <w:gridSpan w:val="12"/>
            <w:shd w:fill="d9d9d9"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Procedural knowledge is delivered through modelling and/or demonstration with appropriate scaffolds.</w:t>
            </w:r>
          </w:p>
        </w:tc>
      </w:tr>
      <w:tr>
        <w:trPr>
          <w:cantSplit w:val="0"/>
          <w:trHeight w:val="732.1276595744682" w:hRule="atLeast"/>
          <w:tblHeader w:val="0"/>
        </w:trPr>
        <w:tc>
          <w:tcPr>
            <w:gridSpan w:val="12"/>
            <w:tcBorders>
              <w:left w:color="ffffff" w:space="0" w:sz="8" w:val="single"/>
              <w:bottom w:color="f3f3f3" w:space="0" w:sz="8" w:val="single"/>
              <w:right w:color="ffffff" w:space="0" w:sz="8" w:val="single"/>
            </w:tcBorders>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73">
            <w:pPr>
              <w:pStyle w:val="Heading2"/>
              <w:rPr/>
            </w:pPr>
            <w:bookmarkStart w:colFirst="0" w:colLast="0" w:name="_wympz93fsvkb" w:id="6"/>
            <w:bookmarkEnd w:id="6"/>
            <w:r w:rsidDel="00000000" w:rsidR="00000000" w:rsidRPr="00000000">
              <w:rPr>
                <w:rtl w:val="0"/>
              </w:rPr>
              <w:t xml:space="preserve">Principles of high quality explanation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There are three guiding principles which underpin high quality explanation: </w:t>
            </w:r>
          </w:p>
          <w:p w:rsidR="00000000" w:rsidDel="00000000" w:rsidP="00000000" w:rsidRDefault="00000000" w:rsidRPr="00000000" w14:paraId="00000076">
            <w:pPr>
              <w:rPr/>
            </w:pPr>
            <w:r w:rsidDel="00000000" w:rsidR="00000000" w:rsidRPr="00000000">
              <w:rPr>
                <w:rtl w:val="0"/>
              </w:rPr>
            </w:r>
          </w:p>
        </w:tc>
      </w:tr>
      <w:tr>
        <w:trPr>
          <w:cantSplit w:val="0"/>
          <w:trHeight w:val="732.1276595744682" w:hRule="atLeast"/>
          <w:tblHeader w:val="0"/>
        </w:trPr>
        <w:tc>
          <w:tcPr>
            <w:gridSpan w:val="4"/>
            <w:tcBorders>
              <w:top w:color="f3f3f3" w:space="0" w:sz="8" w:val="single"/>
              <w:left w:color="f3f3f3" w:space="0" w:sz="8" w:val="single"/>
              <w:bottom w:color="f3f3f3" w:space="0" w:sz="8" w:val="single"/>
              <w:right w:color="f3f3f3" w:space="0" w:sz="8" w:val="single"/>
            </w:tcBorders>
            <w:shd w:fill="f3f3f3"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82">
            <w:pPr>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Connected </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86">
            <w:pPr>
              <w:widowControl w:val="0"/>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Chunked </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8A">
            <w:pPr>
              <w:widowControl w:val="0"/>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Clear </w:t>
            </w:r>
          </w:p>
        </w:tc>
      </w:tr>
      <w:tr>
        <w:trPr>
          <w:cantSplit w:val="0"/>
          <w:trHeight w:val="732.1276595744682" w:hRule="atLeast"/>
          <w:tblHeader w:val="0"/>
        </w:trPr>
        <w:tc>
          <w:tcPr>
            <w:gridSpan w:val="4"/>
            <w:tcBorders>
              <w:top w:color="f3f3f3" w:space="0" w:sz="8" w:val="single"/>
              <w:left w:color="f3f3f3" w:space="0" w:sz="8" w:val="single"/>
              <w:bottom w:color="f3f3f3" w:space="0" w:sz="8" w:val="single"/>
              <w:right w:color="f3f3f3" w:space="0" w:sz="8" w:val="single"/>
            </w:tcBorders>
            <w:shd w:fill="f3f3f3" w:val="clear"/>
            <w:tcMar>
              <w:top w:w="43.08661417322835" w:type="dxa"/>
              <w:left w:w="43.08661417322835" w:type="dxa"/>
              <w:bottom w:w="43.08661417322835" w:type="dxa"/>
              <w:right w:w="43.08661417322835" w:type="dxa"/>
            </w:tcMar>
          </w:tcPr>
          <w:p w:rsidR="00000000" w:rsidDel="00000000" w:rsidP="00000000" w:rsidRDefault="00000000" w:rsidRPr="00000000" w14:paraId="0000008E">
            <w:pPr>
              <w:jc w:val="center"/>
              <w:rPr/>
            </w:pPr>
            <w:r w:rsidDel="00000000" w:rsidR="00000000" w:rsidRPr="00000000">
              <w:rPr/>
              <w:drawing>
                <wp:inline distB="114300" distT="114300" distL="114300" distR="114300">
                  <wp:extent cx="1581150" cy="1687103"/>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81150" cy="1687103"/>
                          </a:xfrm>
                          <a:prstGeom prst="rect"/>
                          <a:ln/>
                        </pic:spPr>
                      </pic:pic>
                    </a:graphicData>
                  </a:graphic>
                </wp:inline>
              </w:drawing>
            </w:r>
            <w:r w:rsidDel="00000000" w:rsidR="00000000" w:rsidRPr="00000000">
              <w:rPr>
                <w:rtl w:val="0"/>
              </w:rPr>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2">
            <w:pPr>
              <w:widowControl w:val="0"/>
              <w:jc w:val="center"/>
              <w:rPr/>
            </w:pPr>
            <w:r w:rsidDel="00000000" w:rsidR="00000000" w:rsidRPr="00000000">
              <w:rPr/>
              <w:drawing>
                <wp:inline distB="114300" distT="114300" distL="114300" distR="114300">
                  <wp:extent cx="1609725" cy="1745281"/>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09725" cy="1745281"/>
                          </a:xfrm>
                          <a:prstGeom prst="rect"/>
                          <a:ln/>
                        </pic:spPr>
                      </pic:pic>
                    </a:graphicData>
                  </a:graphic>
                </wp:inline>
              </w:drawing>
            </w:r>
            <w:r w:rsidDel="00000000" w:rsidR="00000000" w:rsidRPr="00000000">
              <w:rPr>
                <w:rtl w:val="0"/>
              </w:rPr>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96">
            <w:pPr>
              <w:widowControl w:val="0"/>
              <w:jc w:val="center"/>
              <w:rPr/>
            </w:pPr>
            <w:r w:rsidDel="00000000" w:rsidR="00000000" w:rsidRPr="00000000">
              <w:rPr/>
              <w:drawing>
                <wp:inline distB="114300" distT="114300" distL="114300" distR="114300">
                  <wp:extent cx="1877093" cy="1535113"/>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77093" cy="1535113"/>
                          </a:xfrm>
                          <a:prstGeom prst="rect"/>
                          <a:ln/>
                        </pic:spPr>
                      </pic:pic>
                    </a:graphicData>
                  </a:graphic>
                </wp:inline>
              </w:drawing>
            </w:r>
            <w:r w:rsidDel="00000000" w:rsidR="00000000" w:rsidRPr="00000000">
              <w:rPr>
                <w:vertAlign w:val="superscript"/>
              </w:rPr>
              <w:footnoteReference w:customMarkFollows="0" w:id="2"/>
            </w:r>
            <w:r w:rsidDel="00000000" w:rsidR="00000000" w:rsidRPr="00000000">
              <w:rPr>
                <w:rtl w:val="0"/>
              </w:rPr>
            </w:r>
          </w:p>
        </w:tc>
      </w:tr>
      <w:tr>
        <w:trPr>
          <w:cantSplit w:val="0"/>
          <w:trHeight w:val="732.1276595744682" w:hRule="atLeast"/>
          <w:tblHeader w:val="0"/>
        </w:trPr>
        <w:tc>
          <w:tcPr>
            <w:gridSpan w:val="4"/>
            <w:tcBorders>
              <w:top w:color="f3f3f3" w:space="0" w:sz="8" w:val="single"/>
              <w:left w:color="ffffff" w:space="0" w:sz="8" w:val="single"/>
              <w:bottom w:color="ffffff" w:space="0" w:sz="8" w:val="single"/>
              <w:right w:color="ffffff" w:space="0" w:sz="8" w:val="single"/>
            </w:tcBorders>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9A">
            <w:pPr>
              <w:spacing w:line="276" w:lineRule="auto"/>
              <w:rPr/>
            </w:pPr>
            <w:r w:rsidDel="00000000" w:rsidR="00000000" w:rsidRPr="00000000">
              <w:rPr>
                <w:rtl w:val="0"/>
              </w:rPr>
              <w:t xml:space="preserve">Our brains organise new information into schemata and we can only store this knowledge if we can connect it with what we already have. As such, explanations at Oak help pupils to assimilate concepts and extend their existing schemas. Beginning explanations with links to prior learning through our prior knowledge starter quiz then lodging new content within a broader sequence of knowledge and linking this to the bigger concepts in a curriculum is considered good practice.</w:t>
            </w:r>
          </w:p>
          <w:p w:rsidR="00000000" w:rsidDel="00000000" w:rsidP="00000000" w:rsidRDefault="00000000" w:rsidRPr="00000000" w14:paraId="0000009B">
            <w:pPr>
              <w:spacing w:line="276" w:lineRule="auto"/>
              <w:ind w:left="720" w:firstLine="0"/>
              <w:rPr/>
            </w:pPr>
            <w:r w:rsidDel="00000000" w:rsidR="00000000" w:rsidRPr="00000000">
              <w:rPr>
                <w:rtl w:val="0"/>
              </w:rPr>
            </w:r>
          </w:p>
          <w:p w:rsidR="00000000" w:rsidDel="00000000" w:rsidP="00000000" w:rsidRDefault="00000000" w:rsidRPr="00000000" w14:paraId="0000009C">
            <w:pPr>
              <w:spacing w:line="276" w:lineRule="auto"/>
              <w:rPr/>
            </w:pPr>
            <w:r w:rsidDel="00000000" w:rsidR="00000000" w:rsidRPr="00000000">
              <w:rPr>
                <w:rtl w:val="0"/>
              </w:rPr>
              <w:t xml:space="preserve">Explanations also serve to connect pupils with teachers as seen in the </w:t>
            </w:r>
            <w:r w:rsidDel="00000000" w:rsidR="00000000" w:rsidRPr="00000000">
              <w:rPr>
                <w:rtl w:val="0"/>
              </w:rPr>
              <w:t xml:space="preserve">‘own it’</w:t>
            </w:r>
            <w:r w:rsidDel="00000000" w:rsidR="00000000" w:rsidRPr="00000000">
              <w:rPr>
                <w:rtl w:val="0"/>
              </w:rPr>
              <w:t xml:space="preserve"> stage of our </w:t>
            </w:r>
            <w:hyperlink r:id="rId11">
              <w:r w:rsidDel="00000000" w:rsidR="00000000" w:rsidRPr="00000000">
                <w:rPr>
                  <w:color w:val="1155cc"/>
                  <w:u w:val="single"/>
                  <w:rtl w:val="0"/>
                </w:rPr>
                <w:t xml:space="preserve">learning framework.</w:t>
              </w:r>
            </w:hyperlink>
            <w:r w:rsidDel="00000000" w:rsidR="00000000" w:rsidRPr="00000000">
              <w:rPr>
                <w:rtl w:val="0"/>
              </w:rPr>
              <w:t xml:space="preserve"> As such, explanations foster and maintain pupil engagement in instruction by including frequent opportunities for active participation. </w:t>
            </w:r>
          </w:p>
        </w:tc>
        <w:tc>
          <w:tcPr>
            <w:gridSpan w:val="4"/>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line="276" w:lineRule="auto"/>
              <w:rPr/>
            </w:pPr>
            <w:r w:rsidDel="00000000" w:rsidR="00000000" w:rsidRPr="00000000">
              <w:rPr>
                <w:rtl w:val="0"/>
              </w:rPr>
              <w:t xml:space="preserve">The right amount of information needs to be given at the right time to minimise extraneous load and maximise understanding and retention so pupils ’</w:t>
            </w:r>
            <w:hyperlink r:id="rId12">
              <w:r w:rsidDel="00000000" w:rsidR="00000000" w:rsidRPr="00000000">
                <w:rPr>
                  <w:color w:val="1155cc"/>
                  <w:u w:val="single"/>
                  <w:rtl w:val="0"/>
                </w:rPr>
                <w:t xml:space="preserve">get it</w:t>
              </w:r>
            </w:hyperlink>
            <w:r w:rsidDel="00000000" w:rsidR="00000000" w:rsidRPr="00000000">
              <w:rPr>
                <w:rtl w:val="0"/>
              </w:rPr>
              <w:t xml:space="preserve">’. Rosenshine</w:t>
            </w:r>
            <w:r w:rsidDel="00000000" w:rsidR="00000000" w:rsidRPr="00000000">
              <w:rPr>
                <w:vertAlign w:val="superscript"/>
              </w:rPr>
              <w:footnoteReference w:customMarkFollows="0" w:id="3"/>
            </w:r>
            <w:r w:rsidDel="00000000" w:rsidR="00000000" w:rsidRPr="00000000">
              <w:rPr>
                <w:rtl w:val="0"/>
              </w:rPr>
              <w:t xml:space="preserve"> speaks of small steps which limit the number and complexity of new pieces of information that pupils receive at any one time. </w:t>
            </w:r>
          </w:p>
          <w:p w:rsidR="00000000" w:rsidDel="00000000" w:rsidP="00000000" w:rsidRDefault="00000000" w:rsidRPr="00000000" w14:paraId="000000A1">
            <w:pPr>
              <w:spacing w:line="276" w:lineRule="auto"/>
              <w:ind w:left="720" w:firstLine="0"/>
              <w:rPr/>
            </w:pPr>
            <w:r w:rsidDel="00000000" w:rsidR="00000000" w:rsidRPr="00000000">
              <w:rPr>
                <w:rtl w:val="0"/>
              </w:rPr>
            </w:r>
          </w:p>
          <w:p w:rsidR="00000000" w:rsidDel="00000000" w:rsidP="00000000" w:rsidRDefault="00000000" w:rsidRPr="00000000" w14:paraId="000000A2">
            <w:pPr>
              <w:spacing w:line="276" w:lineRule="auto"/>
              <w:rPr/>
            </w:pPr>
            <w:r w:rsidDel="00000000" w:rsidR="00000000" w:rsidRPr="00000000">
              <w:rPr>
                <w:rtl w:val="0"/>
              </w:rPr>
              <w:t xml:space="preserve">Part of chunking explanations is also about considering sequence. At Oak, explanations systematically deliver skills, concepts and content knowledge in the right sequence to provide the building blocks towards mastery. </w:t>
            </w:r>
          </w:p>
        </w:tc>
        <w:tc>
          <w:tcPr>
            <w:gridSpan w:val="4"/>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spacing w:line="276" w:lineRule="auto"/>
              <w:rPr/>
            </w:pPr>
            <w:r w:rsidDel="00000000" w:rsidR="00000000" w:rsidRPr="00000000">
              <w:rPr>
                <w:rtl w:val="0"/>
              </w:rPr>
              <w:t xml:space="preserve">Explanations should take complex, abstract material and transform it into concrete, simple ideas without losing complexity. As such, explanations will optimise intrinsic load to support pupils to ‘</w:t>
            </w:r>
            <w:hyperlink r:id="rId13">
              <w:r w:rsidDel="00000000" w:rsidR="00000000" w:rsidRPr="00000000">
                <w:rPr>
                  <w:color w:val="1155cc"/>
                  <w:u w:val="single"/>
                  <w:rtl w:val="0"/>
                </w:rPr>
                <w:t xml:space="preserve">get it</w:t>
              </w:r>
            </w:hyperlink>
            <w:r w:rsidDel="00000000" w:rsidR="00000000" w:rsidRPr="00000000">
              <w:rPr>
                <w:rtl w:val="0"/>
              </w:rPr>
              <w:t xml:space="preserve">’. This means that inessential information is cut out and all essential information is presented together. </w:t>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t xml:space="preserve">Clarity of language is also vital in ensuring pupils understand and remember difficult concepts. </w:t>
            </w:r>
          </w:p>
        </w:tc>
      </w:tr>
      <w:tr>
        <w:trPr>
          <w:cantSplit w:val="0"/>
          <w:trHeight w:val="732.1276595744682" w:hRule="atLeast"/>
          <w:tblHeader w:val="0"/>
        </w:trPr>
        <w:tc>
          <w:tcPr>
            <w:gridSpan w:val="12"/>
            <w:tcBorders>
              <w:top w:color="ffffff" w:space="0" w:sz="8" w:val="single"/>
              <w:left w:color="ffffff" w:space="0" w:sz="8" w:val="single"/>
              <w:bottom w:color="f3f3f3" w:space="0" w:sz="8" w:val="single"/>
              <w:right w:color="ffffff" w:space="0" w:sz="8" w:val="single"/>
            </w:tcBorders>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AC">
            <w:pPr>
              <w:pStyle w:val="Heading2"/>
              <w:rPr/>
            </w:pPr>
            <w:bookmarkStart w:colFirst="0" w:colLast="0" w:name="_v5rtj5hotqei" w:id="7"/>
            <w:bookmarkEnd w:id="7"/>
            <w:r w:rsidDel="00000000" w:rsidR="00000000" w:rsidRPr="00000000">
              <w:rPr>
                <w:rtl w:val="0"/>
              </w:rPr>
              <w:t xml:space="preserve">Delivering explanations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vertAlign w:val="superscript"/>
              </w:rPr>
            </w:pPr>
            <w:r w:rsidDel="00000000" w:rsidR="00000000" w:rsidRPr="00000000">
              <w:rPr>
                <w:rtl w:val="0"/>
              </w:rPr>
              <w:t xml:space="preserve">There are a number of instructional approaches that work to reduce extraneous cognitive load in order to increase the efficacy of explanation.</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AF">
            <w:pPr>
              <w:rPr>
                <w:vertAlign w:val="superscript"/>
              </w:rPr>
            </w:pPr>
            <w:r w:rsidDel="00000000" w:rsidR="00000000" w:rsidRPr="00000000">
              <w:rPr>
                <w:rtl w:val="0"/>
              </w:rPr>
            </w:r>
          </w:p>
        </w:tc>
      </w:tr>
      <w:tr>
        <w:trPr>
          <w:cantSplit w:val="0"/>
          <w:trHeight w:val="732.1276595744682" w:hRule="atLeast"/>
          <w:tblHeader w:val="0"/>
        </w:trPr>
        <w:tc>
          <w:tcPr>
            <w:gridSpan w:val="4"/>
            <w:tcBorders>
              <w:top w:color="f3f3f3" w:space="0" w:sz="8" w:val="single"/>
              <w:left w:color="f3f3f3" w:space="0" w:sz="8" w:val="single"/>
              <w:bottom w:color="f3f3f3" w:space="0" w:sz="8" w:val="single"/>
              <w:right w:color="f3f3f3" w:space="0" w:sz="8" w:val="single"/>
            </w:tcBorders>
            <w:shd w:fill="f3f3f3" w:val="clear"/>
            <w:tcMar>
              <w:top w:w="43.08661417322835" w:type="dxa"/>
              <w:left w:w="43.08661417322835" w:type="dxa"/>
              <w:bottom w:w="43.08661417322835" w:type="dxa"/>
              <w:right w:w="43.08661417322835" w:type="dxa"/>
            </w:tcMar>
            <w:vAlign w:val="center"/>
          </w:tcPr>
          <w:p w:rsidR="00000000" w:rsidDel="00000000" w:rsidP="00000000" w:rsidRDefault="00000000" w:rsidRPr="00000000" w14:paraId="000000BB">
            <w:pPr>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Simple to complex </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BF">
            <w:pPr>
              <w:widowControl w:val="0"/>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Part-whole</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C3">
            <w:pPr>
              <w:widowControl w:val="0"/>
              <w:jc w:val="center"/>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Whole-part</w:t>
            </w:r>
          </w:p>
        </w:tc>
      </w:tr>
      <w:tr>
        <w:trPr>
          <w:cantSplit w:val="0"/>
          <w:trHeight w:val="732.1276595744682" w:hRule="atLeast"/>
          <w:tblHeader w:val="0"/>
        </w:trPr>
        <w:tc>
          <w:tcPr>
            <w:gridSpan w:val="4"/>
            <w:tcBorders>
              <w:top w:color="f3f3f3" w:space="0" w:sz="8" w:val="single"/>
              <w:left w:color="f3f3f3" w:space="0" w:sz="8" w:val="single"/>
              <w:bottom w:color="f3f3f3" w:space="0" w:sz="8" w:val="single"/>
              <w:right w:color="f3f3f3" w:space="0" w:sz="8" w:val="single"/>
            </w:tcBorders>
            <w:shd w:fill="f3f3f3" w:val="clear"/>
            <w:tcMar>
              <w:top w:w="43.08661417322835" w:type="dxa"/>
              <w:left w:w="43.08661417322835" w:type="dxa"/>
              <w:bottom w:w="43.08661417322835" w:type="dxa"/>
              <w:right w:w="43.08661417322835" w:type="dxa"/>
            </w:tcMar>
          </w:tcPr>
          <w:p w:rsidR="00000000" w:rsidDel="00000000" w:rsidP="00000000" w:rsidRDefault="00000000" w:rsidRPr="00000000" w14:paraId="000000C7">
            <w:pPr>
              <w:rPr/>
            </w:pPr>
            <w:r w:rsidDel="00000000" w:rsidR="00000000" w:rsidRPr="00000000">
              <w:rPr>
                <w:rtl w:val="0"/>
              </w:rPr>
              <w:t xml:space="preserve">The elements of the material are introduced to the pupil in a simple-to-complex order so that the pupil does not initially experience the full complexity of the material. </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The individual elements of the material are introduced to the pupil first, before the integrated task is introduced.  The teacher breaks the complex task down into a series of sub-tasks, and gradually builds the pupils’ skills at solving each sub-task before eventually bringing the sub-tasks together in the whole task.</w:t>
            </w:r>
          </w:p>
        </w:tc>
        <w:tc>
          <w:tcPr>
            <w:gridSpan w:val="4"/>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The material is introduced in its full complexity from the beginning followed by directing the attention of the pupil to each separate part. This context can help learners to understand how each of the sub-parts interact with each other.</w:t>
            </w:r>
          </w:p>
          <w:p w:rsidR="00000000" w:rsidDel="00000000" w:rsidP="00000000" w:rsidRDefault="00000000" w:rsidRPr="00000000" w14:paraId="000000D0">
            <w:pPr>
              <w:rPr/>
            </w:pPr>
            <w:r w:rsidDel="00000000" w:rsidR="00000000" w:rsidRPr="00000000">
              <w:rPr>
                <w:rtl w:val="0"/>
              </w:rPr>
            </w:r>
          </w:p>
        </w:tc>
      </w:tr>
      <w:tr>
        <w:trPr>
          <w:cantSplit w:val="0"/>
          <w:trHeight w:val="732.1276595744682" w:hRule="atLeast"/>
          <w:tblHeader w:val="0"/>
        </w:trPr>
        <w:tc>
          <w:tcPr>
            <w:gridSpan w:val="4"/>
            <w:tcBorders>
              <w:top w:color="f3f3f3" w:space="0" w:sz="8" w:val="single"/>
              <w:left w:color="ffffff" w:space="0" w:sz="8" w:val="single"/>
              <w:bottom w:color="ffffff" w:space="0" w:sz="8" w:val="single"/>
              <w:right w:color="ffffff" w:space="0" w:sz="8" w:val="single"/>
            </w:tcBorders>
            <w:shd w:fill="d9ead3" w:val="clear"/>
            <w:tcMar>
              <w:top w:w="43.08661417322835" w:type="dxa"/>
              <w:left w:w="43.08661417322835" w:type="dxa"/>
              <w:bottom w:w="43.08661417322835" w:type="dxa"/>
              <w:right w:w="43.08661417322835" w:type="dxa"/>
            </w:tcMar>
          </w:tcPr>
          <w:p w:rsidR="00000000" w:rsidDel="00000000" w:rsidP="00000000" w:rsidRDefault="00000000" w:rsidRPr="00000000" w14:paraId="000000D4">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0D5">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Pupils’ understanding of an Ordnance Survey map will need to be broken down into component parts before they will be able to read the map confidently e.g. symbols, then grid references, followed by scale and finally contour lines. </w:t>
            </w:r>
            <w:r w:rsidDel="00000000" w:rsidR="00000000" w:rsidRPr="00000000">
              <w:rPr>
                <w:rtl w:val="0"/>
              </w:rPr>
            </w:r>
          </w:p>
          <w:p w:rsidR="00000000" w:rsidDel="00000000" w:rsidP="00000000" w:rsidRDefault="00000000" w:rsidRPr="00000000" w14:paraId="000000D7">
            <w:pPr>
              <w:widowControl w:val="0"/>
              <w:rPr>
                <w:highlight w:val="yellow"/>
              </w:rPr>
            </w:pPr>
            <w:r w:rsidDel="00000000" w:rsidR="00000000" w:rsidRPr="00000000">
              <w:rPr>
                <w:rtl w:val="0"/>
              </w:rPr>
            </w:r>
          </w:p>
        </w:tc>
        <w:tc>
          <w:tcPr>
            <w:gridSpan w:val="4"/>
            <w:tcBorders>
              <w:top w:color="f3f3f3" w:space="0" w:sz="8" w:val="single"/>
              <w:left w:color="ffffff" w:space="0" w:sz="8" w:val="single"/>
              <w:bottom w:color="ffffff" w:space="0" w:sz="8" w:val="single"/>
              <w:right w:color="ffffff" w:space="0" w:sz="8" w:val="single"/>
            </w:tcBorders>
            <w:shd w:fill="d9ead3"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DB">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0DC">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good example of this is explicit phonics teaching. Pupils are taught sounds first e.g. ‘b’ followed by digraphs ‘ea’ and ‘ch’ before the full word of ‘beach’. </w:t>
            </w:r>
            <w:r w:rsidDel="00000000" w:rsidR="00000000" w:rsidRPr="00000000">
              <w:rPr>
                <w:rtl w:val="0"/>
              </w:rPr>
            </w:r>
          </w:p>
        </w:tc>
        <w:tc>
          <w:tcPr>
            <w:gridSpan w:val="4"/>
            <w:tcBorders>
              <w:top w:color="f3f3f3" w:space="0" w:sz="8" w:val="single"/>
              <w:left w:color="ffffff" w:space="0" w:sz="8" w:val="single"/>
              <w:bottom w:color="ffffff" w:space="0" w:sz="8" w:val="single"/>
              <w:right w:color="ffffff" w:space="0" w:sz="8" w:val="single"/>
            </w:tcBorders>
            <w:shd w:fill="d9ead3"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0E1">
            <w:pPr>
              <w:widowControl w:val="0"/>
              <w:rPr>
                <w:rFonts w:ascii="Lexend" w:cs="Lexend" w:eastAsia="Lexend" w:hAnsi="Lexend"/>
                <w:b w:val="1"/>
                <w:bCs w:val="1"/>
              </w:rPr>
            </w:pPr>
            <w:r w:rsidDel="00000000" w:rsidR="00000000" w:rsidRPr="00000000">
              <w:rPr>
                <w:rFonts w:ascii="Lexend" w:cs="Lexend" w:eastAsia="Lexend" w:hAnsi="Lexend"/>
                <w:b w:val="1"/>
                <w:bCs w:val="1"/>
                <w:color w:val="25ab38"/>
                <w:rtl w:val="0"/>
              </w:rPr>
              <w:t xml:space="preserve">✔ </w:t>
            </w:r>
            <w:r w:rsidDel="00000000" w:rsidR="00000000" w:rsidRPr="00000000">
              <w:rPr>
                <w:rFonts w:ascii="Lexend" w:cs="Lexend" w:eastAsia="Lexend" w:hAnsi="Lexend"/>
                <w:b w:val="1"/>
                <w:bCs w:val="1"/>
                <w:rtl w:val="0"/>
              </w:rPr>
              <w:t xml:space="preserve">Example</w:t>
            </w:r>
          </w:p>
          <w:p w:rsidR="00000000" w:rsidDel="00000000" w:rsidP="00000000" w:rsidRDefault="00000000" w:rsidRPr="00000000" w14:paraId="000000E2">
            <w:pPr>
              <w:widowControl w:val="0"/>
              <w:rPr>
                <w:rFonts w:ascii="Lexend" w:cs="Lexend" w:eastAsia="Lexend" w:hAnsi="Lexend"/>
                <w:b w:val="1"/>
                <w:bCs w:val="1"/>
              </w:rPr>
            </w:pPr>
            <w:r w:rsidDel="00000000" w:rsidR="00000000" w:rsidRPr="00000000">
              <w:rPr>
                <w:rtl w:val="0"/>
              </w:rPr>
            </w:r>
          </w:p>
          <w:p w:rsidR="00000000" w:rsidDel="00000000" w:rsidP="00000000" w:rsidRDefault="00000000" w:rsidRPr="00000000" w14:paraId="000000E3">
            <w:pPr>
              <w:widowControl w:val="0"/>
              <w:rPr>
                <w:rFonts w:ascii="Lexend" w:cs="Lexend" w:eastAsia="Lexend" w:hAnsi="Lexend"/>
                <w:b w:val="1"/>
                <w:bCs w:val="1"/>
              </w:rPr>
            </w:pPr>
            <w:r w:rsidDel="00000000" w:rsidR="00000000" w:rsidRPr="00000000">
              <w:rPr>
                <w:rtl w:val="0"/>
              </w:rPr>
              <w:t xml:space="preserve">When teaching how to shoot a basketball, the teacher may demonstrate the whole skill first before then breaking it down further to look in detail at each component part e.g. feet position, aim etc. </w:t>
            </w:r>
            <w:r w:rsidDel="00000000" w:rsidR="00000000" w:rsidRPr="00000000">
              <w:rPr>
                <w:rtl w:val="0"/>
              </w:rPr>
            </w:r>
          </w:p>
          <w:p w:rsidR="00000000" w:rsidDel="00000000" w:rsidP="00000000" w:rsidRDefault="00000000" w:rsidRPr="00000000" w14:paraId="000000E4">
            <w:pPr>
              <w:widowControl w:val="0"/>
              <w:rPr/>
            </w:pPr>
            <w:r w:rsidDel="00000000" w:rsidR="00000000" w:rsidRPr="00000000">
              <w:rPr>
                <w:rtl w:val="0"/>
              </w:rPr>
            </w:r>
          </w:p>
        </w:tc>
      </w:tr>
      <w:tr>
        <w:trPr>
          <w:cantSplit w:val="0"/>
          <w:trHeight w:val="440" w:hRule="atLeast"/>
          <w:tblHeader w:val="0"/>
        </w:trPr>
        <w:tc>
          <w:tcPr>
            <w:gridSpan w:val="12"/>
            <w:tcBorders>
              <w:top w:color="ffffff" w:space="0" w:sz="8" w:val="single"/>
              <w:left w:color="ffffff" w:space="0" w:sz="8" w:val="single"/>
              <w:right w:color="ffffff" w:space="0" w:sz="8" w:val="single"/>
            </w:tcBorders>
            <w:shd w:fill="auto" w:val="clear"/>
            <w:tcMar>
              <w:top w:w="43.08661417322835" w:type="dxa"/>
              <w:left w:w="43.08661417322835" w:type="dxa"/>
              <w:bottom w:w="43.08661417322835" w:type="dxa"/>
              <w:right w:w="43.08661417322835" w:type="dxa"/>
            </w:tcMar>
          </w:tcPr>
          <w:p w:rsidR="00000000" w:rsidDel="00000000" w:rsidP="00000000" w:rsidRDefault="00000000" w:rsidRPr="00000000" w14:paraId="000000E8">
            <w:pPr>
              <w:rPr/>
            </w:pPr>
            <w:r w:rsidDel="00000000" w:rsidR="00000000" w:rsidRPr="00000000">
              <w:rPr>
                <w:rtl w:val="0"/>
              </w:rPr>
            </w:r>
          </w:p>
        </w:tc>
      </w:tr>
      <w:tr>
        <w:trPr>
          <w:cantSplit w:val="0"/>
          <w:trHeight w:val="732.1276595744682" w:hRule="atLeast"/>
          <w:tblHeader w:val="0"/>
        </w:trPr>
        <w:tc>
          <w:tcPr>
            <w:gridSpan w:val="12"/>
            <w:shd w:fill="d9d9d9" w:val="clear"/>
            <w:tcMar>
              <w:top w:w="43.08661417322835" w:type="dxa"/>
              <w:left w:w="43.08661417322835" w:type="dxa"/>
              <w:bottom w:w="43.08661417322835" w:type="dxa"/>
              <w:right w:w="43.08661417322835" w:type="dxa"/>
            </w:tcMar>
          </w:tcPr>
          <w:p w:rsidR="00000000" w:rsidDel="00000000" w:rsidP="00000000" w:rsidRDefault="00000000" w:rsidRPr="00000000" w14:paraId="000000F4">
            <w:pPr>
              <w:widowControl w:val="0"/>
              <w:ind w:left="720" w:firstLine="0"/>
              <w:rPr/>
            </w:pPr>
            <w:r w:rsidDel="00000000" w:rsidR="00000000" w:rsidRPr="00000000">
              <w:rPr>
                <w:rtl w:val="0"/>
              </w:rPr>
            </w:r>
          </w:p>
          <w:p w:rsidR="00000000" w:rsidDel="00000000" w:rsidP="00000000" w:rsidRDefault="00000000" w:rsidRPr="00000000" w14:paraId="000000F5">
            <w:pPr>
              <w:widowControl w:val="0"/>
              <w:numPr>
                <w:ilvl w:val="0"/>
                <w:numId w:val="2"/>
              </w:numPr>
              <w:ind w:left="720" w:hanging="360"/>
              <w:rPr>
                <w:u w:val="none"/>
              </w:rPr>
            </w:pPr>
            <w:r w:rsidDel="00000000" w:rsidR="00000000" w:rsidRPr="00000000">
              <w:rPr>
                <w:rtl w:val="0"/>
              </w:rPr>
              <w:t xml:space="preserve">When using a </w:t>
            </w:r>
            <w:r w:rsidDel="00000000" w:rsidR="00000000" w:rsidRPr="00000000">
              <w:rPr>
                <w:rFonts w:ascii="Lexend" w:cs="Lexend" w:eastAsia="Lexend" w:hAnsi="Lexend"/>
                <w:b w:val="1"/>
                <w:bCs w:val="1"/>
                <w:rtl w:val="0"/>
              </w:rPr>
              <w:t xml:space="preserve">simple to complex</w:t>
            </w:r>
            <w:r w:rsidDel="00000000" w:rsidR="00000000" w:rsidRPr="00000000">
              <w:rPr>
                <w:rtl w:val="0"/>
              </w:rPr>
              <w:t xml:space="preserve"> approach, the elements of the material are introduced to the pupil in a simple-to-complex order so that the pupil does not initially experience the full complexity of the material.</w:t>
            </w:r>
          </w:p>
          <w:p w:rsidR="00000000" w:rsidDel="00000000" w:rsidP="00000000" w:rsidRDefault="00000000" w:rsidRPr="00000000" w14:paraId="000000F6">
            <w:pPr>
              <w:widowControl w:val="0"/>
              <w:ind w:left="720" w:firstLine="0"/>
              <w:rPr/>
            </w:pPr>
            <w:r w:rsidDel="00000000" w:rsidR="00000000" w:rsidRPr="00000000">
              <w:rPr>
                <w:rtl w:val="0"/>
              </w:rPr>
            </w:r>
          </w:p>
          <w:p w:rsidR="00000000" w:rsidDel="00000000" w:rsidP="00000000" w:rsidRDefault="00000000" w:rsidRPr="00000000" w14:paraId="000000F7">
            <w:pPr>
              <w:widowControl w:val="0"/>
              <w:numPr>
                <w:ilvl w:val="0"/>
                <w:numId w:val="2"/>
              </w:numPr>
              <w:ind w:left="720" w:hanging="360"/>
              <w:rPr>
                <w:u w:val="none"/>
              </w:rPr>
            </w:pPr>
            <w:r w:rsidDel="00000000" w:rsidR="00000000" w:rsidRPr="00000000">
              <w:rPr>
                <w:rtl w:val="0"/>
              </w:rPr>
              <w:t xml:space="preserve">When using a </w:t>
            </w:r>
            <w:r w:rsidDel="00000000" w:rsidR="00000000" w:rsidRPr="00000000">
              <w:rPr>
                <w:rFonts w:ascii="Lexend" w:cs="Lexend" w:eastAsia="Lexend" w:hAnsi="Lexend"/>
                <w:b w:val="1"/>
                <w:bCs w:val="1"/>
                <w:rtl w:val="0"/>
              </w:rPr>
              <w:t xml:space="preserve">whole-part approach</w:t>
            </w:r>
            <w:r w:rsidDel="00000000" w:rsidR="00000000" w:rsidRPr="00000000">
              <w:rPr>
                <w:rtl w:val="0"/>
              </w:rPr>
              <w:t xml:space="preserve">, the material is introduced in its full complexity from the beginning followed by directing the attention of the pupil to each separate part. This context can help learners to understand how each of the sub-parts interact with each other.</w:t>
            </w:r>
          </w:p>
          <w:p w:rsidR="00000000" w:rsidDel="00000000" w:rsidP="00000000" w:rsidRDefault="00000000" w:rsidRPr="00000000" w14:paraId="000000F8">
            <w:pPr>
              <w:widowControl w:val="0"/>
              <w:ind w:left="720" w:firstLine="0"/>
              <w:rPr/>
            </w:pPr>
            <w:r w:rsidDel="00000000" w:rsidR="00000000" w:rsidRPr="00000000">
              <w:rPr>
                <w:rtl w:val="0"/>
              </w:rPr>
            </w:r>
          </w:p>
          <w:p w:rsidR="00000000" w:rsidDel="00000000" w:rsidP="00000000" w:rsidRDefault="00000000" w:rsidRPr="00000000" w14:paraId="000000F9">
            <w:pPr>
              <w:widowControl w:val="0"/>
              <w:numPr>
                <w:ilvl w:val="0"/>
                <w:numId w:val="2"/>
              </w:numPr>
              <w:ind w:left="720" w:hanging="360"/>
              <w:rPr>
                <w:u w:val="none"/>
              </w:rPr>
            </w:pPr>
            <w:r w:rsidDel="00000000" w:rsidR="00000000" w:rsidRPr="00000000">
              <w:rPr>
                <w:rtl w:val="0"/>
              </w:rPr>
              <w:t xml:space="preserve">When using a </w:t>
            </w:r>
            <w:r w:rsidDel="00000000" w:rsidR="00000000" w:rsidRPr="00000000">
              <w:rPr>
                <w:rFonts w:ascii="Lexend" w:cs="Lexend" w:eastAsia="Lexend" w:hAnsi="Lexend"/>
                <w:b w:val="1"/>
                <w:bCs w:val="1"/>
                <w:rtl w:val="0"/>
              </w:rPr>
              <w:t xml:space="preserve">part-whole approach</w:t>
            </w:r>
            <w:r w:rsidDel="00000000" w:rsidR="00000000" w:rsidRPr="00000000">
              <w:rPr>
                <w:rtl w:val="0"/>
              </w:rPr>
              <w:t xml:space="preserve">, the teacher breaks the complex task down into a series of sub-tasks, and gradually builds the pupils’ skills at solving each sub-task before eventually bringing the sub-tasks together</w:t>
            </w:r>
          </w:p>
          <w:p w:rsidR="00000000" w:rsidDel="00000000" w:rsidP="00000000" w:rsidRDefault="00000000" w:rsidRPr="00000000" w14:paraId="000000FA">
            <w:pPr>
              <w:widowControl w:val="0"/>
              <w:ind w:left="720" w:firstLine="0"/>
              <w:rPr/>
            </w:pP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left="0" w:firstLine="0"/>
        <w:rPr/>
      </w:pPr>
      <w:r w:rsidDel="00000000" w:rsidR="00000000" w:rsidRPr="00000000">
        <w:rPr>
          <w:rtl w:val="0"/>
        </w:rPr>
      </w:r>
    </w:p>
    <w:sectPr>
      <w:headerReference r:id="rId14" w:type="default"/>
      <w:headerReference r:id="rId15" w:type="first"/>
      <w:footerReference r:id="rId16" w:type="default"/>
      <w:footerReference r:id="rId17" w:type="first"/>
      <w:pgSz w:h="16834" w:w="11909" w:orient="portrait"/>
      <w:pgMar w:bottom="1700.7874015748032" w:top="720.0000000000001" w:left="720.0000000000001" w:right="720.0000000000001" w:header="453.5433070866142" w:footer="453.543307086614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right"/>
      <w:rPr/>
    </w:pPr>
    <w:r w:rsidDel="00000000" w:rsidR="00000000" w:rsidRPr="00000000">
      <w:rPr>
        <w:rFonts w:ascii="Lexend SemiBold" w:cs="Lexend SemiBold" w:eastAsia="Lexend SemiBold" w:hAnsi="Lexend SemiBold"/>
        <w:sz w:val="22"/>
        <w:szCs w:val="22"/>
      </w:rPr>
      <w:fldChar w:fldCharType="begin"/>
      <w:instrText xml:space="preserve">PAGE</w:instrText>
      <w:fldChar w:fldCharType="separate"/>
      <w:fldChar w:fldCharType="end"/>
    </w:r>
    <w:r w:rsidDel="00000000" w:rsidR="00000000" w:rsidRPr="00000000">
      <w:rPr>
        <w:rFonts w:ascii="Lexend SemiBold" w:cs="Lexend SemiBold" w:eastAsia="Lexend SemiBold" w:hAnsi="Lexend SemiBold"/>
        <w:sz w:val="18"/>
        <w:szCs w:val="18"/>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6486525</wp:posOffset>
          </wp:positionH>
          <wp:positionV relativeFrom="paragraph">
            <wp:posOffset>19051</wp:posOffset>
          </wp:positionV>
          <wp:extent cx="99571" cy="136458"/>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99571" cy="136458"/>
                  </a:xfrm>
                  <a:prstGeom prst="rect"/>
                  <a:ln/>
                </pic:spPr>
              </pic:pic>
            </a:graphicData>
          </a:graphic>
        </wp:anchor>
      </w:drawing>
    </w:r>
  </w:p>
  <w:p w:rsidR="00000000" w:rsidDel="00000000" w:rsidP="00000000" w:rsidRDefault="00000000" w:rsidRPr="00000000" w14:paraId="0000010E">
    <w:pPr>
      <w:jc w:val="right"/>
      <w:rPr>
        <w:rFonts w:ascii="Lexend SemiBold" w:cs="Lexend SemiBold" w:eastAsia="Lexend SemiBold" w:hAnsi="Lexend SemiBold"/>
        <w:sz w:val="18"/>
        <w:szCs w:val="18"/>
      </w:rPr>
    </w:pPr>
    <w:r w:rsidDel="00000000" w:rsidR="00000000" w:rsidRPr="00000000">
      <w:rPr>
        <w:rtl w:val="0"/>
      </w:rPr>
    </w:r>
  </w:p>
  <w:p w:rsidR="00000000" w:rsidDel="00000000" w:rsidP="00000000" w:rsidRDefault="00000000" w:rsidRPr="00000000" w14:paraId="0000010F">
    <w:pPr>
      <w:jc w:val="right"/>
      <w:rPr>
        <w:rFonts w:ascii="Lexend SemiBold" w:cs="Lexend SemiBold" w:eastAsia="Lexend SemiBold" w:hAnsi="Lexend SemiBold"/>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rPr>
        <w:sz w:val="4"/>
        <w:szCs w:val="4"/>
      </w:rPr>
    </w:pPr>
    <w:r w:rsidDel="00000000" w:rsidR="00000000" w:rsidRPr="00000000">
      <w:rPr>
        <w:rtl w:val="0"/>
      </w:rPr>
    </w:r>
  </w:p>
  <w:tbl>
    <w:tblPr>
      <w:tblStyle w:val="Table3"/>
      <w:tblW w:w="104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9"/>
      <w:tblGridChange w:id="0">
        <w:tblGrid>
          <w:gridCol w:w="10469"/>
        </w:tblGrid>
      </w:tblGridChange>
    </w:tblGrid>
    <w:tr>
      <w:trPr>
        <w:cantSplit w:val="0"/>
        <w:trHeight w:val="210"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111">
          <w:pPr>
            <w:widowControl w:val="0"/>
            <w:rPr/>
          </w:pPr>
          <w:r w:rsidDel="00000000" w:rsidR="00000000" w:rsidRPr="00000000">
            <w:rPr>
              <w:rtl w:val="0"/>
            </w:rPr>
            <w:t xml:space="preserve">April 2024 / JH / creator training </w:t>
          </w:r>
        </w:p>
      </w:tc>
    </w:tr>
  </w:tbl>
  <w:p w:rsidR="00000000" w:rsidDel="00000000" w:rsidP="00000000" w:rsidRDefault="00000000" w:rsidRPr="00000000" w14:paraId="00000112">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3">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Hattie, J. 2009. Visible Learning: A synthesis of over 800 Meta-Analyses Relating to achievement</w:t>
      </w:r>
    </w:p>
  </w:footnote>
  <w:footnote w:id="1">
    <w:p w:rsidR="00000000" w:rsidDel="00000000" w:rsidP="00000000" w:rsidRDefault="00000000" w:rsidRPr="00000000" w14:paraId="00000114">
      <w:pPr>
        <w:rPr>
          <w:sz w:val="16"/>
          <w:szCs w:val="16"/>
          <w:highlight w:val="yellow"/>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040c28"/>
          <w:sz w:val="16"/>
          <w:szCs w:val="16"/>
          <w:rtl w:val="0"/>
        </w:rPr>
        <w:t xml:space="preserve">Rosenshine, B.</w:t>
      </w:r>
      <w:r w:rsidDel="00000000" w:rsidR="00000000" w:rsidRPr="00000000">
        <w:rPr>
          <w:color w:val="202124"/>
          <w:sz w:val="16"/>
          <w:szCs w:val="16"/>
          <w:highlight w:val="white"/>
          <w:rtl w:val="0"/>
        </w:rPr>
        <w:t xml:space="preserve"> </w:t>
      </w:r>
      <w:r w:rsidDel="00000000" w:rsidR="00000000" w:rsidRPr="00000000">
        <w:rPr>
          <w:color w:val="040c28"/>
          <w:sz w:val="16"/>
          <w:szCs w:val="16"/>
          <w:rtl w:val="0"/>
        </w:rPr>
        <w:t xml:space="preserve">2010.</w:t>
      </w:r>
      <w:r w:rsidDel="00000000" w:rsidR="00000000" w:rsidRPr="00000000">
        <w:rPr>
          <w:color w:val="202124"/>
          <w:sz w:val="16"/>
          <w:szCs w:val="16"/>
          <w:highlight w:val="white"/>
          <w:rtl w:val="0"/>
        </w:rPr>
        <w:t xml:space="preserve"> </w:t>
      </w:r>
      <w:r w:rsidDel="00000000" w:rsidR="00000000" w:rsidRPr="00000000">
        <w:rPr>
          <w:color w:val="040c28"/>
          <w:sz w:val="16"/>
          <w:szCs w:val="16"/>
          <w:rtl w:val="0"/>
        </w:rPr>
        <w:t xml:space="preserve">Principles of instruction; Educational practices series; Vol.:21</w:t>
      </w:r>
      <w:r w:rsidDel="00000000" w:rsidR="00000000" w:rsidRPr="00000000">
        <w:rPr>
          <w:rtl w:val="0"/>
        </w:rPr>
      </w:r>
    </w:p>
  </w:footnote>
  <w:footnote w:id="3">
    <w:p w:rsidR="00000000" w:rsidDel="00000000" w:rsidP="00000000" w:rsidRDefault="00000000" w:rsidRPr="00000000" w14:paraId="00000115">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040c28"/>
          <w:sz w:val="16"/>
          <w:szCs w:val="16"/>
          <w:rtl w:val="0"/>
        </w:rPr>
        <w:t xml:space="preserve">Rosenshine, B.</w:t>
      </w:r>
      <w:r w:rsidDel="00000000" w:rsidR="00000000" w:rsidRPr="00000000">
        <w:rPr>
          <w:color w:val="202124"/>
          <w:sz w:val="16"/>
          <w:szCs w:val="16"/>
          <w:highlight w:val="white"/>
          <w:rtl w:val="0"/>
        </w:rPr>
        <w:t xml:space="preserve"> </w:t>
      </w:r>
      <w:r w:rsidDel="00000000" w:rsidR="00000000" w:rsidRPr="00000000">
        <w:rPr>
          <w:color w:val="040c28"/>
          <w:sz w:val="16"/>
          <w:szCs w:val="16"/>
          <w:rtl w:val="0"/>
        </w:rPr>
        <w:t xml:space="preserve">2010.</w:t>
      </w:r>
      <w:r w:rsidDel="00000000" w:rsidR="00000000" w:rsidRPr="00000000">
        <w:rPr>
          <w:color w:val="202124"/>
          <w:sz w:val="16"/>
          <w:szCs w:val="16"/>
          <w:highlight w:val="white"/>
          <w:rtl w:val="0"/>
        </w:rPr>
        <w:t xml:space="preserve"> </w:t>
      </w:r>
      <w:r w:rsidDel="00000000" w:rsidR="00000000" w:rsidRPr="00000000">
        <w:rPr>
          <w:color w:val="040c28"/>
          <w:sz w:val="16"/>
          <w:szCs w:val="16"/>
          <w:rtl w:val="0"/>
        </w:rPr>
        <w:t xml:space="preserve">Principles of instruction; Educational practices series; Vol.:21</w:t>
      </w:r>
      <w:r w:rsidDel="00000000" w:rsidR="00000000" w:rsidRPr="00000000">
        <w:rPr>
          <w:rtl w:val="0"/>
        </w:rPr>
      </w:r>
    </w:p>
  </w:footnote>
  <w:footnote w:id="4">
    <w:p w:rsidR="00000000" w:rsidDel="00000000" w:rsidP="00000000" w:rsidRDefault="00000000" w:rsidRPr="00000000" w14:paraId="00000116">
      <w:pPr>
        <w:ind w:left="-15" w:firstLine="0"/>
        <w:rPr>
          <w:color w:val="434343"/>
          <w:sz w:val="16"/>
          <w:szCs w:val="16"/>
        </w:rPr>
      </w:pPr>
      <w:r w:rsidDel="00000000" w:rsidR="00000000" w:rsidRPr="00000000">
        <w:rPr>
          <w:rStyle w:val="FootnoteReference"/>
          <w:vertAlign w:val="superscript"/>
        </w:rPr>
        <w:footnoteRef/>
      </w:r>
      <w:r w:rsidDel="00000000" w:rsidR="00000000" w:rsidRPr="00000000">
        <w:rPr>
          <w:rFonts w:ascii="Montserrat" w:cs="Montserrat" w:eastAsia="Montserrat" w:hAnsi="Montserrat"/>
          <w:color w:val="434343"/>
          <w:sz w:val="20"/>
          <w:szCs w:val="20"/>
          <w:rtl w:val="0"/>
        </w:rPr>
        <w:t xml:space="preserve"> </w:t>
      </w:r>
      <w:r w:rsidDel="00000000" w:rsidR="00000000" w:rsidRPr="00000000">
        <w:rPr>
          <w:color w:val="434343"/>
          <w:sz w:val="16"/>
          <w:szCs w:val="16"/>
          <w:rtl w:val="0"/>
        </w:rPr>
        <w:t xml:space="preserve">Van Merrienboer, J.J. and Sweller, J., 2005. Cognitive load theory and complex learning: Recent developments and future directions. Educational psychology review, 17(2), pp.147-177.</w:t>
      </w:r>
    </w:p>
    <w:p w:rsidR="00000000" w:rsidDel="00000000" w:rsidP="00000000" w:rsidRDefault="00000000" w:rsidRPr="00000000" w14:paraId="00000117">
      <w:pPr>
        <w:ind w:left="-15" w:firstLine="0"/>
        <w:rPr>
          <w:color w:val="434343"/>
          <w:sz w:val="16"/>
          <w:szCs w:val="16"/>
        </w:rPr>
      </w:pPr>
      <w:r w:rsidDel="00000000" w:rsidR="00000000" w:rsidRPr="00000000">
        <w:rPr>
          <w:color w:val="434343"/>
          <w:sz w:val="16"/>
          <w:szCs w:val="16"/>
          <w:rtl w:val="0"/>
        </w:rPr>
        <w:t xml:space="preserve">Images from www.thenounproject.com</w:t>
      </w:r>
    </w:p>
  </w:footnote>
  <w:footnote w:id="2">
    <w:p w:rsidR="00000000" w:rsidDel="00000000" w:rsidP="00000000" w:rsidRDefault="00000000" w:rsidRPr="00000000" w14:paraId="00000118">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Images from </w:t>
      </w:r>
      <w:hyperlink r:id="rId1">
        <w:r w:rsidDel="00000000" w:rsidR="00000000" w:rsidRPr="00000000">
          <w:rPr>
            <w:color w:val="1155cc"/>
            <w:sz w:val="16"/>
            <w:szCs w:val="16"/>
            <w:u w:val="single"/>
            <w:rtl w:val="0"/>
          </w:rPr>
          <w:t xml:space="preserve">thenounproject</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sz w:val="4"/>
        <w:szCs w:val="4"/>
      </w:rPr>
    </w:pPr>
    <w:r w:rsidDel="00000000" w:rsidR="00000000" w:rsidRPr="00000000">
      <w:rPr>
        <w:rtl w:val="0"/>
      </w:rPr>
    </w:r>
  </w:p>
  <w:tbl>
    <w:tblPr>
      <w:tblStyle w:val="Table2"/>
      <w:tblW w:w="1046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9"/>
      <w:tblGridChange w:id="0">
        <w:tblGrid>
          <w:gridCol w:w="10469"/>
        </w:tblGrid>
      </w:tblGridChange>
    </w:tblGrid>
    <w:tr>
      <w:trPr>
        <w:cantSplit w:val="0"/>
        <w:trHeight w:val="825" w:hRule="atLeast"/>
        <w:tblHeader w:val="0"/>
      </w:trPr>
      <w:tc>
        <w:tcPr>
          <w:tcBorders>
            <w:top w:color="25ab38" w:space="0" w:sz="8" w:val="single"/>
            <w:left w:color="000000" w:space="0" w:sz="0" w:val="nil"/>
            <w:bottom w:color="000000" w:space="0" w:sz="0" w:val="nil"/>
            <w:right w:color="000000" w:space="0" w:sz="0" w:val="nil"/>
          </w:tcBorders>
          <w:shd w:fill="auto" w:val="clear"/>
          <w:tcMar>
            <w:top w:w="0.0" w:type="dxa"/>
            <w:left w:w="0.0" w:type="dxa"/>
            <w:bottom w:w="0.0" w:type="dxa"/>
            <w:right w:w="0.0" w:type="dxa"/>
          </w:tcMar>
          <w:vAlign w:val="bottom"/>
        </w:tcPr>
        <w:p w:rsidR="00000000" w:rsidDel="00000000" w:rsidP="00000000" w:rsidRDefault="00000000" w:rsidRPr="00000000" w14:paraId="0000010A">
          <w:pPr>
            <w:widowControl w:val="0"/>
            <w:rPr/>
          </w:pPr>
          <w:r w:rsidDel="00000000" w:rsidR="00000000" w:rsidRPr="00000000">
            <w:rPr/>
            <w:drawing>
              <wp:inline distB="114300" distT="114300" distL="114300" distR="114300">
                <wp:extent cx="3348000" cy="345960"/>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348000" cy="34596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240" w:lineRule="auto"/>
    </w:pPr>
    <w:rPr>
      <w:rFonts w:ascii="Lexend SemiBold" w:cs="Lexend SemiBold" w:eastAsia="Lexend SemiBold" w:hAnsi="Lexend SemiBold"/>
      <w:color w:val="25ab38"/>
      <w:sz w:val="48"/>
      <w:szCs w:val="48"/>
    </w:rPr>
  </w:style>
  <w:style w:type="paragraph" w:styleId="Heading2">
    <w:name w:val="heading 2"/>
    <w:basedOn w:val="Normal"/>
    <w:next w:val="Normal"/>
    <w:pPr>
      <w:keepNext w:val="1"/>
      <w:keepLines w:val="1"/>
      <w:spacing w:before="320" w:lineRule="auto"/>
    </w:pPr>
    <w:rPr>
      <w:rFonts w:ascii="Lexend SemiBold" w:cs="Lexend SemiBold" w:eastAsia="Lexend SemiBold" w:hAnsi="Lexend SemiBold"/>
      <w:sz w:val="32"/>
      <w:szCs w:val="32"/>
    </w:rPr>
  </w:style>
  <w:style w:type="paragraph" w:styleId="Heading3">
    <w:name w:val="heading 3"/>
    <w:basedOn w:val="Normal"/>
    <w:next w:val="Normal"/>
    <w:pPr>
      <w:keepNext w:val="1"/>
      <w:keepLines w:val="1"/>
      <w:spacing w:before="320" w:lineRule="auto"/>
    </w:pPr>
    <w:rPr>
      <w:rFonts w:ascii="Lexend SemiBold" w:cs="Lexend SemiBold" w:eastAsia="Lexend SemiBold" w:hAnsi="Lexend SemiBold"/>
    </w:rPr>
  </w:style>
  <w:style w:type="paragraph" w:styleId="Heading4">
    <w:name w:val="heading 4"/>
    <w:basedOn w:val="Normal"/>
    <w:next w:val="Normal"/>
    <w:pPr>
      <w:keepNext w:val="1"/>
      <w:keepLines w:val="1"/>
      <w:spacing w:before="320" w:lineRule="auto"/>
    </w:pPr>
    <w:rPr>
      <w:rFonts w:ascii="Lexend SemiBold" w:cs="Lexend SemiBold" w:eastAsia="Lexend SemiBold" w:hAnsi="Lexend SemiBold"/>
      <w:color w:val="25ab38"/>
    </w:rPr>
  </w:style>
  <w:style w:type="paragraph" w:styleId="Heading5">
    <w:name w:val="heading 5"/>
    <w:basedOn w:val="Normal"/>
    <w:next w:val="Normal"/>
    <w:pPr>
      <w:keepNext w:val="1"/>
      <w:keepLines w:val="1"/>
      <w:spacing w:after="320" w:before="320" w:lineRule="auto"/>
    </w:pPr>
    <w:rPr>
      <w:sz w:val="32"/>
      <w:szCs w:val="3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320" w:lineRule="auto"/>
    </w:pPr>
    <w:rPr>
      <w:rFonts w:ascii="Lexend SemiBold" w:cs="Lexend SemiBold" w:eastAsia="Lexend SemiBold" w:hAnsi="Lexend SemiBold"/>
      <w:sz w:val="90"/>
      <w:szCs w:val="90"/>
    </w:rPr>
  </w:style>
  <w:style w:type="paragraph" w:styleId="Subtitle">
    <w:name w:val="Subtitle"/>
    <w:basedOn w:val="Normal"/>
    <w:next w:val="Normal"/>
    <w:pPr>
      <w:keepNext w:val="1"/>
      <w:keepLines w:val="1"/>
    </w:pPr>
    <w:rPr>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M4cOKWbxjzsDl_lVL78rs_yNGiZnyQWJOkPfOTp6nuE/edit" TargetMode="External"/><Relationship Id="rId10" Type="http://schemas.openxmlformats.org/officeDocument/2006/relationships/image" Target="media/image5.png"/><Relationship Id="rId13" Type="http://schemas.openxmlformats.org/officeDocument/2006/relationships/hyperlink" Target="https://docs.google.com/document/d/1M4cOKWbxjzsDl_lVL78rs_yNGiZnyQWJOkPfOTp6nuE/edit#heading=h.gdhlxjq7rlft" TargetMode="External"/><Relationship Id="rId12" Type="http://schemas.openxmlformats.org/officeDocument/2006/relationships/hyperlink" Target="https://docs.google.com/document/d/1M4cOKWbxjzsDl_lVL78rs_yNGiZnyQWJOkPfOTp6nuE/edit#heading=h.gdhlxjq7rlf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s://thenounprojec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