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600CB" w14:textId="77777777" w:rsidR="00220327" w:rsidRDefault="00B51942">
      <w:pPr>
        <w:spacing w:before="240" w:after="240"/>
        <w:jc w:val="center"/>
      </w:pPr>
      <w:r>
        <w:t>Predicting College Football Gambling Lines Using 247 Composite Recruiting Data, Conference Data, and Rolling Averages of Basic Football Stats</w:t>
      </w:r>
    </w:p>
    <w:p w14:paraId="48695026" w14:textId="77777777" w:rsidR="00220327" w:rsidRDefault="00B51942">
      <w:pPr>
        <w:spacing w:before="240" w:after="240"/>
        <w:jc w:val="center"/>
      </w:pPr>
      <w:r>
        <w:t>Ted Henson</w:t>
      </w:r>
    </w:p>
    <w:p w14:paraId="0B34AAEF" w14:textId="77777777" w:rsidR="00220327" w:rsidRDefault="00B51942">
      <w:pPr>
        <w:spacing w:before="240" w:after="240"/>
        <w:jc w:val="center"/>
      </w:pPr>
      <w:r>
        <w:t>Abby Williams</w:t>
      </w:r>
    </w:p>
    <w:p w14:paraId="7E8E403A" w14:textId="77777777" w:rsidR="00220327" w:rsidRDefault="00B51942">
      <w:pPr>
        <w:spacing w:before="240" w:after="240"/>
        <w:jc w:val="center"/>
      </w:pPr>
      <w:r>
        <w:t>Brett Shanklin</w:t>
      </w:r>
    </w:p>
    <w:p w14:paraId="3242F41F" w14:textId="77777777" w:rsidR="00220327" w:rsidRDefault="00B51942">
      <w:pPr>
        <w:spacing w:before="240" w:after="240"/>
        <w:jc w:val="center"/>
      </w:pPr>
      <w:r>
        <w:t>Alex Matthew</w:t>
      </w:r>
    </w:p>
    <w:p w14:paraId="4D9C1743" w14:textId="77777777" w:rsidR="00220327" w:rsidRDefault="00B51942">
      <w:pPr>
        <w:spacing w:before="240" w:after="240"/>
        <w:jc w:val="center"/>
      </w:pPr>
      <w:r>
        <w:t>Samantha Ferraro</w:t>
      </w:r>
    </w:p>
    <w:p w14:paraId="7835428C" w14:textId="77777777" w:rsidR="00220327" w:rsidRDefault="00220327">
      <w:pPr>
        <w:spacing w:before="240" w:after="240"/>
        <w:rPr>
          <w:b/>
        </w:rPr>
      </w:pPr>
    </w:p>
    <w:p w14:paraId="2E46F391" w14:textId="77777777" w:rsidR="00220327" w:rsidRDefault="00220327">
      <w:pPr>
        <w:spacing w:before="240" w:after="240"/>
        <w:rPr>
          <w:b/>
        </w:rPr>
      </w:pPr>
    </w:p>
    <w:p w14:paraId="72FABB25" w14:textId="77777777" w:rsidR="00220327" w:rsidRDefault="00220327">
      <w:pPr>
        <w:spacing w:before="240" w:after="240"/>
        <w:rPr>
          <w:b/>
        </w:rPr>
      </w:pPr>
    </w:p>
    <w:p w14:paraId="17EA607F" w14:textId="77777777" w:rsidR="00220327" w:rsidRDefault="00220327">
      <w:pPr>
        <w:spacing w:before="240" w:after="240"/>
        <w:rPr>
          <w:b/>
        </w:rPr>
      </w:pPr>
    </w:p>
    <w:p w14:paraId="1584AAE7" w14:textId="77777777" w:rsidR="00220327" w:rsidRDefault="00220327">
      <w:pPr>
        <w:spacing w:before="240" w:after="240"/>
        <w:rPr>
          <w:b/>
        </w:rPr>
      </w:pPr>
    </w:p>
    <w:p w14:paraId="1D9D0D54" w14:textId="77777777" w:rsidR="00220327" w:rsidRDefault="00220327">
      <w:pPr>
        <w:spacing w:before="240" w:after="240"/>
        <w:rPr>
          <w:b/>
        </w:rPr>
      </w:pPr>
    </w:p>
    <w:p w14:paraId="2D1505D7" w14:textId="77777777" w:rsidR="00220327" w:rsidRDefault="00220327">
      <w:pPr>
        <w:spacing w:before="240" w:after="240"/>
        <w:rPr>
          <w:b/>
        </w:rPr>
      </w:pPr>
    </w:p>
    <w:p w14:paraId="1A8DD709" w14:textId="77777777" w:rsidR="00220327" w:rsidRDefault="00220327">
      <w:pPr>
        <w:spacing w:before="240" w:after="240"/>
        <w:rPr>
          <w:b/>
        </w:rPr>
      </w:pPr>
    </w:p>
    <w:p w14:paraId="4E7F2426" w14:textId="77777777" w:rsidR="00220327" w:rsidRDefault="00220327">
      <w:pPr>
        <w:spacing w:before="240" w:after="240"/>
        <w:rPr>
          <w:b/>
        </w:rPr>
      </w:pPr>
    </w:p>
    <w:p w14:paraId="7E9AA243" w14:textId="77777777" w:rsidR="00220327" w:rsidRDefault="00220327">
      <w:pPr>
        <w:spacing w:before="240" w:after="240"/>
        <w:rPr>
          <w:b/>
        </w:rPr>
      </w:pPr>
    </w:p>
    <w:p w14:paraId="0D4FEA17" w14:textId="77777777" w:rsidR="00220327" w:rsidRDefault="00220327">
      <w:pPr>
        <w:spacing w:before="240" w:after="240"/>
        <w:rPr>
          <w:b/>
        </w:rPr>
      </w:pPr>
    </w:p>
    <w:p w14:paraId="4DD430AC" w14:textId="77777777" w:rsidR="00220327" w:rsidRDefault="00220327">
      <w:pPr>
        <w:spacing w:before="240" w:after="240"/>
        <w:rPr>
          <w:b/>
        </w:rPr>
      </w:pPr>
    </w:p>
    <w:p w14:paraId="605C18CA" w14:textId="77777777" w:rsidR="00220327" w:rsidRDefault="00220327">
      <w:pPr>
        <w:spacing w:before="240" w:after="240"/>
        <w:rPr>
          <w:b/>
        </w:rPr>
      </w:pPr>
    </w:p>
    <w:p w14:paraId="482FE336" w14:textId="77777777" w:rsidR="00220327" w:rsidRDefault="00220327">
      <w:pPr>
        <w:spacing w:before="240" w:after="240"/>
        <w:rPr>
          <w:b/>
        </w:rPr>
      </w:pPr>
    </w:p>
    <w:p w14:paraId="702C62AF" w14:textId="77777777" w:rsidR="00220327" w:rsidRDefault="00220327">
      <w:pPr>
        <w:spacing w:before="240" w:after="240"/>
        <w:rPr>
          <w:b/>
        </w:rPr>
      </w:pPr>
    </w:p>
    <w:p w14:paraId="71D2CC22" w14:textId="77777777" w:rsidR="00220327" w:rsidRDefault="00220327">
      <w:pPr>
        <w:spacing w:before="240" w:after="240"/>
        <w:rPr>
          <w:b/>
        </w:rPr>
      </w:pPr>
    </w:p>
    <w:p w14:paraId="3EEE183B" w14:textId="77777777" w:rsidR="00220327" w:rsidRDefault="00220327">
      <w:pPr>
        <w:spacing w:before="240" w:after="240"/>
        <w:rPr>
          <w:b/>
        </w:rPr>
      </w:pPr>
    </w:p>
    <w:p w14:paraId="4F246E38" w14:textId="77777777" w:rsidR="00220327" w:rsidRDefault="00B51942">
      <w:pPr>
        <w:spacing w:before="240" w:after="240"/>
        <w:rPr>
          <w:b/>
          <w:sz w:val="48"/>
          <w:szCs w:val="48"/>
        </w:rPr>
      </w:pPr>
      <w:r>
        <w:rPr>
          <w:b/>
          <w:sz w:val="48"/>
          <w:szCs w:val="48"/>
        </w:rPr>
        <w:lastRenderedPageBreak/>
        <w:t>Data information</w:t>
      </w:r>
    </w:p>
    <w:p w14:paraId="43A52B91" w14:textId="77777777" w:rsidR="00220327" w:rsidRDefault="00B51942">
      <w:pPr>
        <w:spacing w:before="240" w:after="240"/>
        <w:ind w:firstLine="720"/>
      </w:pPr>
      <w:r>
        <w:t>The first dataset gathered was 247 composite recruiting data [1]. We decided to pursue this data first as the teams with the top recruiting classes are usually the best teams. Data was copy and pasted from 247 composite rankings for all relevant seasons. F</w:t>
      </w:r>
      <w:r>
        <w:t>or every game, we considered data on the prior 5 recruiting classes for each team. Any team names that were spelled differently (UCF versus Central Florida) were substituted through brute force. All teams without data were double checked after this process</w:t>
      </w:r>
      <w:r>
        <w:t xml:space="preserve"> to ensure the missing data was not due to non-missing team names. We included the number of recruits for each class, as we would expect that teams with more upperclassmen to perform better. Total recruiting points and average points per recruit was also i</w:t>
      </w:r>
      <w:r>
        <w:t>ncluded for each class, as the former probably favors teams that have more depth while the latter favors teams that are top heavy. If a team did not have any recruiting data, then they were given 0s in those columns, indicating they did not have any ranked</w:t>
      </w:r>
      <w:r>
        <w:t xml:space="preserve"> commits. We did not throw those rows out as that would penalize teams with one ranked commit per season.</w:t>
      </w:r>
    </w:p>
    <w:p w14:paraId="32852F9F" w14:textId="77777777" w:rsidR="00220327" w:rsidRDefault="00B51942">
      <w:pPr>
        <w:spacing w:before="240" w:after="240"/>
        <w:ind w:firstLine="720"/>
      </w:pPr>
      <w:r>
        <w:t>Conference data was gathered through copying and pasting from the NCAA standings website [2]. Brute force substitution was also applied to the team na</w:t>
      </w:r>
      <w:r>
        <w:t>mes, as well as double checking. If a team moved conferences, we used their current conference as that is a more accurate depiction of the team’s quality and strength of schedule going forward. The complexity added by engineering prior conference membershi</w:t>
      </w:r>
      <w:r>
        <w:t>ps would not be worth the improvement in prediction. We included both the conference as a variable, and the interaction between the conference and their division as categorical variables. We included this as many divisions are lopsided (the SEC West has be</w:t>
      </w:r>
      <w:r>
        <w:t>en much stronger than the East in recent years) and teams within the same division play each other every year. These variables were included to try to regress all stats towards their conference mean. We also created two binary variables: one indicating whe</w:t>
      </w:r>
      <w:r>
        <w:t>ther it was a conference game, and/or an inner division game to account for the role familiarity plays in who wins, and by how much. Understanding the opposing team’s scheme and players can expose team’s weaknesses and generate different results than expec</w:t>
      </w:r>
      <w:r>
        <w:t>ted.</w:t>
      </w:r>
    </w:p>
    <w:p w14:paraId="3A80A75A" w14:textId="77777777" w:rsidR="00220327" w:rsidRDefault="00B51942">
      <w:pPr>
        <w:spacing w:before="240" w:after="240"/>
        <w:ind w:firstLine="720"/>
      </w:pPr>
      <w:r>
        <w:t>Rolling averages from the GameStats dataset were engineered based on all prior games for that team within a season. Many opposing teams did not have more than 1 game of both offensive and defensive game stats to create a prior belief about their value. The</w:t>
      </w:r>
      <w:r>
        <w:t>refore, if an opposing team did not have 4 games of prior defensive stats (as this was the limiting factor), those rows were thrown out. As a result, all first weeks of the seasons were thrown out. We justified this as we will be predicting on games very l</w:t>
      </w:r>
      <w:r>
        <w:t>ate in the year. Games early in the year, especially the first game, are much more influenced by the prior years performance. Most of these teams were FCS level teams, which we will not be predicting on anyway, so we felt comfortable throwing them out base</w:t>
      </w:r>
      <w:r>
        <w:t>d on the prediction task. For the two teams that do have FCS games, we did not have adequate stats for 2019 on them. Therefore, offensive and defensive rolling averages were used from prior seasons as estimates. The following stats were included for both t</w:t>
      </w:r>
      <w:r>
        <w:t xml:space="preserve">eams, from the offensive and defensive point of view: yards per attempt, rushing yards per attempt, passing yards per attempt, completion percentage, total turnovers </w:t>
      </w:r>
      <w:r>
        <w:lastRenderedPageBreak/>
        <w:t xml:space="preserve">and turnovers per play, interceptions per passing attempt, total points, points per play, </w:t>
      </w:r>
      <w:r>
        <w:t>touchdowns per play, rushing TDS, passing TDs, and winning percentage. We included both total yards per attempt and broken down into passing and rushing as the former represents overall success while the latter gives a more comprehensive look at the team’s</w:t>
      </w:r>
      <w:r>
        <w:t xml:space="preserve"> strengths. Completion percentage was included as the interaction between that and passing yards per attempt could be significant. Total turnovers and turnovers per play were both included. Some teams may turn the ball over a lot, but play at a faster pace</w:t>
      </w:r>
      <w:r>
        <w:t>, and we tried to estimate that based on number of plays. We included both as our estimation of the number of possessions is tenuous. Total points was included to capture their overall strength, and points per play was created to measure explosiveness. Rus</w:t>
      </w:r>
      <w:r>
        <w:t xml:space="preserve">hing TDs and Passing TDs were included as passing ability may be more predictive of future success than rushing, as it has been shown to be in the NFL. Touchdowns per play was also included to measure a different type of explosiveness (how often you reach </w:t>
      </w:r>
      <w:r>
        <w:t xml:space="preserve">the end zone per play). The prior winning percentage in that season was also included as another measure of overall strength. </w:t>
      </w:r>
    </w:p>
    <w:p w14:paraId="74A0F132" w14:textId="77777777" w:rsidR="00220327" w:rsidRDefault="00B51942">
      <w:pPr>
        <w:spacing w:before="240" w:after="240"/>
        <w:ind w:firstLine="720"/>
      </w:pPr>
      <w:r>
        <w:t>Other non-team specific information was included such as the Game Type, as some post season games such as bowl games tend to be b</w:t>
      </w:r>
      <w:r>
        <w:t>lowouts. The game number for each team was also included as teams with greater depth, measured by recruiting points, may be better late in the year; however, this caused worse out of sample prediction, and caused issues with joining our predictions dataset</w:t>
      </w:r>
      <w:r>
        <w:t>, so we elected to leave it out. The game location was also included as there is no home field advantage effect at neutral locations.</w:t>
      </w:r>
    </w:p>
    <w:p w14:paraId="5D5212A2" w14:textId="77777777" w:rsidR="00220327" w:rsidRDefault="00B51942">
      <w:pPr>
        <w:spacing w:before="240" w:after="240"/>
        <w:ind w:firstLine="720"/>
      </w:pPr>
      <w:r>
        <w:t xml:space="preserve">For our game stats and the recruiting data, we took the difference in stats between the home and away team. This was done </w:t>
      </w:r>
      <w:r>
        <w:t>primarily to reduce computation and ease interpretability. There is no significant reason to believe that a given statistic (such as points) is more important for the home team than the away team. Any difference found between home and away stats would eith</w:t>
      </w:r>
      <w:r>
        <w:t>er be due to random chance or be marginally significant. This transformation reduced our errors slightly, eased interpretability, and reduced computational cost. We also felt more confident in the predictions as they are less complex and the variables chos</w:t>
      </w:r>
      <w:r>
        <w:t>en make more sense.</w:t>
      </w:r>
    </w:p>
    <w:p w14:paraId="30A1BA47" w14:textId="77777777" w:rsidR="00220327" w:rsidRDefault="00B51942">
      <w:pPr>
        <w:spacing w:before="240" w:after="240"/>
        <w:ind w:firstLine="720"/>
      </w:pPr>
      <w:r>
        <w:t xml:space="preserve">After seeing some of the significant variables for the spread, we engineered a few lag variables from the prior 4 games to give an index of a team’s performance recently for our final predictions on ACC games. We considered the prior 4 </w:t>
      </w:r>
      <w:r>
        <w:t>games for offensive and defensive points per play, and winning percentage. In order to control for some teams having poor schedules early in the year, we further subset our data to only train on games October and later. After retraining our data, the metri</w:t>
      </w:r>
      <w:r>
        <w:t>cs for our games were more or less the same. We realized the rolling averages for prior games will be identical to the moving averages for half of our training games. Therefore, we left it out: the added complexity was not worth it. We instead focused on m</w:t>
      </w:r>
      <w:r>
        <w:t xml:space="preserve">ore advanced modeling techniques to reduce our errors, rather than introducing more covariates. We only trained on games after September, as that will be more representative of our test set, and it did reduce our test errors. </w:t>
      </w:r>
    </w:p>
    <w:p w14:paraId="4773FF13" w14:textId="77777777" w:rsidR="00D70CFE" w:rsidRDefault="00D70CFE">
      <w:pPr>
        <w:spacing w:before="240" w:after="240"/>
        <w:ind w:firstLine="720"/>
      </w:pPr>
    </w:p>
    <w:p w14:paraId="480D481B" w14:textId="77777777" w:rsidR="00220327" w:rsidRDefault="00B51942">
      <w:pPr>
        <w:spacing w:before="240" w:after="240"/>
        <w:rPr>
          <w:b/>
          <w:sz w:val="48"/>
          <w:szCs w:val="48"/>
        </w:rPr>
      </w:pPr>
      <w:r>
        <w:rPr>
          <w:b/>
          <w:sz w:val="48"/>
          <w:szCs w:val="48"/>
        </w:rPr>
        <w:lastRenderedPageBreak/>
        <w:t>Methodology for Spread</w:t>
      </w:r>
    </w:p>
    <w:p w14:paraId="4094033C" w14:textId="77777777" w:rsidR="00220327" w:rsidRDefault="00B51942">
      <w:pPr>
        <w:spacing w:before="240" w:after="240"/>
        <w:ind w:firstLine="720"/>
      </w:pPr>
      <w:r>
        <w:t>We per</w:t>
      </w:r>
      <w:r>
        <w:t>formed similar processes for predicting all of our response variables; however, knowing our relationships appear to be primarily linearly related based on our outcomes on predicting the result, we trained mostly linear models for the spread. We added an Ea</w:t>
      </w:r>
      <w:r>
        <w:t xml:space="preserve">rth model to see if there were any important interaction or higher order terms. We trained our models both on normalized and unnormalized data. The normalization did not improve predictions, even on methods such as neural nets which typically benefit from </w:t>
      </w:r>
      <w:r>
        <w:t>it, so we elected to not normalize our data. Other models trained include a bagged Earth model, simple linear regression, stepwise regression, extreme gradient boosting, elastic net, Bayesian additive regression trees, and others. The ones shown below were</w:t>
      </w:r>
      <w:r>
        <w:t xml:space="preserve"> the best, and are relatively simple.</w:t>
      </w:r>
    </w:p>
    <w:p w14:paraId="094CDCF5" w14:textId="77777777" w:rsidR="00220327" w:rsidRDefault="00B51942">
      <w:pPr>
        <w:spacing w:before="240" w:after="240"/>
        <w:ind w:firstLine="720"/>
      </w:pPr>
      <w:r>
        <w:t>At first, we trained our models using 5 fold cross validation; however, bootstrap random sampling reduced our minimum RMSEs and reduced our errors across our test samples.  Below we provide a summary of the RMSE across</w:t>
      </w:r>
      <w:r>
        <w:t xml:space="preserve"> our 1000 bootstrap samples for our best models: partial least squares, earth (multivariate adaptive regression splines), lasso regression, and ridge regression. Although the model with the corresponding minimum RMSE is used to select the optimal hyperpara</w:t>
      </w:r>
      <w:r>
        <w:t xml:space="preserve">meters, we will display summary statistics of the out of sample RMSEs across all our bootstrapped samples for good measure. </w:t>
      </w:r>
    </w:p>
    <w:tbl>
      <w:tblPr>
        <w:tblStyle w:val="a"/>
        <w:tblW w:w="807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1005"/>
        <w:gridCol w:w="1125"/>
        <w:gridCol w:w="1035"/>
        <w:gridCol w:w="1050"/>
        <w:gridCol w:w="1020"/>
        <w:gridCol w:w="1110"/>
        <w:gridCol w:w="1080"/>
        <w:gridCol w:w="645"/>
      </w:tblGrid>
      <w:tr w:rsidR="00220327" w14:paraId="5772E98B" w14:textId="77777777">
        <w:trPr>
          <w:trHeight w:val="400"/>
        </w:trPr>
        <w:tc>
          <w:tcPr>
            <w:tcW w:w="1005" w:type="dxa"/>
            <w:tcBorders>
              <w:top w:val="nil"/>
              <w:left w:val="nil"/>
              <w:bottom w:val="single" w:sz="12" w:space="0" w:color="666666"/>
              <w:right w:val="nil"/>
            </w:tcBorders>
            <w:shd w:val="clear" w:color="auto" w:fill="FFFFFF"/>
            <w:tcMar>
              <w:top w:w="0" w:type="dxa"/>
              <w:left w:w="0" w:type="dxa"/>
              <w:bottom w:w="0" w:type="dxa"/>
              <w:right w:w="0" w:type="dxa"/>
            </w:tcMar>
          </w:tcPr>
          <w:p w14:paraId="64C55368" w14:textId="77777777" w:rsidR="00220327" w:rsidRDefault="00B51942">
            <w:pPr>
              <w:spacing w:before="240" w:after="240"/>
              <w:ind w:right="120"/>
              <w:jc w:val="center"/>
              <w:rPr>
                <w:b/>
                <w:sz w:val="16"/>
                <w:szCs w:val="16"/>
                <w:u w:val="single"/>
              </w:rPr>
            </w:pPr>
            <w:r>
              <w:rPr>
                <w:sz w:val="18"/>
                <w:szCs w:val="18"/>
              </w:rPr>
              <w:t xml:space="preserve"> </w:t>
            </w:r>
            <w:r>
              <w:rPr>
                <w:b/>
                <w:sz w:val="16"/>
                <w:szCs w:val="16"/>
                <w:u w:val="single"/>
              </w:rPr>
              <w:t>RMSE</w:t>
            </w:r>
          </w:p>
        </w:tc>
        <w:tc>
          <w:tcPr>
            <w:tcW w:w="1125" w:type="dxa"/>
            <w:tcBorders>
              <w:top w:val="nil"/>
              <w:left w:val="nil"/>
              <w:bottom w:val="single" w:sz="12" w:space="0" w:color="666666"/>
              <w:right w:val="nil"/>
            </w:tcBorders>
            <w:shd w:val="clear" w:color="auto" w:fill="FFFFFF"/>
            <w:tcMar>
              <w:top w:w="0" w:type="dxa"/>
              <w:left w:w="0" w:type="dxa"/>
              <w:bottom w:w="0" w:type="dxa"/>
              <w:right w:w="0" w:type="dxa"/>
            </w:tcMar>
          </w:tcPr>
          <w:p w14:paraId="011DA3A9" w14:textId="77777777" w:rsidR="00220327" w:rsidRDefault="00B51942">
            <w:pPr>
              <w:spacing w:before="240" w:after="240"/>
              <w:ind w:left="120" w:right="120"/>
              <w:jc w:val="center"/>
              <w:rPr>
                <w:b/>
                <w:sz w:val="18"/>
                <w:szCs w:val="18"/>
              </w:rPr>
            </w:pPr>
            <w:r>
              <w:rPr>
                <w:b/>
                <w:sz w:val="18"/>
                <w:szCs w:val="18"/>
              </w:rPr>
              <w:t>Min</w:t>
            </w:r>
          </w:p>
        </w:tc>
        <w:tc>
          <w:tcPr>
            <w:tcW w:w="1035" w:type="dxa"/>
            <w:tcBorders>
              <w:top w:val="nil"/>
              <w:left w:val="nil"/>
              <w:bottom w:val="single" w:sz="12" w:space="0" w:color="666666"/>
              <w:right w:val="nil"/>
            </w:tcBorders>
            <w:shd w:val="clear" w:color="auto" w:fill="FFFFFF"/>
            <w:tcMar>
              <w:top w:w="0" w:type="dxa"/>
              <w:left w:w="0" w:type="dxa"/>
              <w:bottom w:w="0" w:type="dxa"/>
              <w:right w:w="0" w:type="dxa"/>
            </w:tcMar>
          </w:tcPr>
          <w:p w14:paraId="691C4CEE" w14:textId="77777777" w:rsidR="00220327" w:rsidRDefault="00B51942">
            <w:pPr>
              <w:spacing w:before="240" w:after="240"/>
              <w:ind w:left="120" w:right="120"/>
              <w:jc w:val="center"/>
              <w:rPr>
                <w:b/>
                <w:sz w:val="18"/>
                <w:szCs w:val="18"/>
              </w:rPr>
            </w:pPr>
            <w:r>
              <w:rPr>
                <w:b/>
                <w:sz w:val="18"/>
                <w:szCs w:val="18"/>
              </w:rPr>
              <w:t>1</w:t>
            </w:r>
            <w:r>
              <w:rPr>
                <w:b/>
                <w:sz w:val="18"/>
                <w:szCs w:val="18"/>
                <w:vertAlign w:val="superscript"/>
              </w:rPr>
              <w:t>st</w:t>
            </w:r>
            <w:r>
              <w:rPr>
                <w:b/>
                <w:sz w:val="18"/>
                <w:szCs w:val="18"/>
              </w:rPr>
              <w:t xml:space="preserve"> Q</w:t>
            </w:r>
          </w:p>
        </w:tc>
        <w:tc>
          <w:tcPr>
            <w:tcW w:w="1050" w:type="dxa"/>
            <w:tcBorders>
              <w:top w:val="nil"/>
              <w:left w:val="nil"/>
              <w:bottom w:val="single" w:sz="12" w:space="0" w:color="666666"/>
              <w:right w:val="nil"/>
            </w:tcBorders>
            <w:shd w:val="clear" w:color="auto" w:fill="FFFFFF"/>
            <w:tcMar>
              <w:top w:w="0" w:type="dxa"/>
              <w:left w:w="0" w:type="dxa"/>
              <w:bottom w:w="0" w:type="dxa"/>
              <w:right w:w="0" w:type="dxa"/>
            </w:tcMar>
          </w:tcPr>
          <w:p w14:paraId="7DC02BB0" w14:textId="77777777" w:rsidR="00220327" w:rsidRDefault="00B51942">
            <w:pPr>
              <w:spacing w:before="240" w:after="240"/>
              <w:ind w:left="120" w:right="120"/>
              <w:jc w:val="center"/>
              <w:rPr>
                <w:b/>
                <w:sz w:val="18"/>
                <w:szCs w:val="18"/>
              </w:rPr>
            </w:pPr>
            <w:r>
              <w:rPr>
                <w:b/>
                <w:sz w:val="18"/>
                <w:szCs w:val="18"/>
              </w:rPr>
              <w:t>Median</w:t>
            </w:r>
          </w:p>
        </w:tc>
        <w:tc>
          <w:tcPr>
            <w:tcW w:w="1020" w:type="dxa"/>
            <w:tcBorders>
              <w:top w:val="nil"/>
              <w:left w:val="nil"/>
              <w:bottom w:val="single" w:sz="12" w:space="0" w:color="666666"/>
              <w:right w:val="nil"/>
            </w:tcBorders>
            <w:shd w:val="clear" w:color="auto" w:fill="FFFFFF"/>
            <w:tcMar>
              <w:top w:w="0" w:type="dxa"/>
              <w:left w:w="0" w:type="dxa"/>
              <w:bottom w:w="0" w:type="dxa"/>
              <w:right w:w="0" w:type="dxa"/>
            </w:tcMar>
          </w:tcPr>
          <w:p w14:paraId="5058F373" w14:textId="77777777" w:rsidR="00220327" w:rsidRDefault="00B51942">
            <w:pPr>
              <w:spacing w:before="240" w:after="240"/>
              <w:ind w:left="120" w:right="120"/>
              <w:jc w:val="center"/>
              <w:rPr>
                <w:b/>
                <w:sz w:val="18"/>
                <w:szCs w:val="18"/>
              </w:rPr>
            </w:pPr>
            <w:r>
              <w:rPr>
                <w:b/>
                <w:sz w:val="18"/>
                <w:szCs w:val="18"/>
              </w:rPr>
              <w:t>Mean</w:t>
            </w:r>
          </w:p>
        </w:tc>
        <w:tc>
          <w:tcPr>
            <w:tcW w:w="1110" w:type="dxa"/>
            <w:tcBorders>
              <w:top w:val="nil"/>
              <w:left w:val="nil"/>
              <w:bottom w:val="single" w:sz="12" w:space="0" w:color="666666"/>
              <w:right w:val="nil"/>
            </w:tcBorders>
            <w:shd w:val="clear" w:color="auto" w:fill="FFFFFF"/>
            <w:tcMar>
              <w:top w:w="0" w:type="dxa"/>
              <w:left w:w="0" w:type="dxa"/>
              <w:bottom w:w="0" w:type="dxa"/>
              <w:right w:w="0" w:type="dxa"/>
            </w:tcMar>
          </w:tcPr>
          <w:p w14:paraId="7F806DFF" w14:textId="77777777" w:rsidR="00220327" w:rsidRDefault="00B51942">
            <w:pPr>
              <w:spacing w:before="240" w:after="240"/>
              <w:ind w:left="120" w:right="120"/>
              <w:jc w:val="center"/>
              <w:rPr>
                <w:b/>
                <w:sz w:val="18"/>
                <w:szCs w:val="18"/>
              </w:rPr>
            </w:pPr>
            <w:r>
              <w:rPr>
                <w:b/>
                <w:sz w:val="18"/>
                <w:szCs w:val="18"/>
              </w:rPr>
              <w:t>3</w:t>
            </w:r>
            <w:r>
              <w:rPr>
                <w:b/>
                <w:sz w:val="18"/>
                <w:szCs w:val="18"/>
                <w:vertAlign w:val="superscript"/>
              </w:rPr>
              <w:t>rd</w:t>
            </w:r>
            <w:r>
              <w:rPr>
                <w:b/>
                <w:sz w:val="18"/>
                <w:szCs w:val="18"/>
              </w:rPr>
              <w:t xml:space="preserve"> Q</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tcPr>
          <w:p w14:paraId="7D08CD10" w14:textId="77777777" w:rsidR="00220327" w:rsidRDefault="00B51942">
            <w:pPr>
              <w:spacing w:before="240" w:after="240"/>
              <w:ind w:left="120" w:right="120"/>
              <w:jc w:val="center"/>
              <w:rPr>
                <w:b/>
                <w:sz w:val="18"/>
                <w:szCs w:val="18"/>
              </w:rPr>
            </w:pPr>
            <w:r>
              <w:rPr>
                <w:b/>
                <w:sz w:val="18"/>
                <w:szCs w:val="18"/>
              </w:rPr>
              <w:t>Max</w:t>
            </w:r>
          </w:p>
        </w:tc>
        <w:tc>
          <w:tcPr>
            <w:tcW w:w="645" w:type="dxa"/>
            <w:tcBorders>
              <w:top w:val="nil"/>
              <w:left w:val="nil"/>
              <w:bottom w:val="single" w:sz="12" w:space="0" w:color="666666"/>
              <w:right w:val="nil"/>
            </w:tcBorders>
            <w:shd w:val="clear" w:color="auto" w:fill="FFFFFF"/>
            <w:tcMar>
              <w:top w:w="0" w:type="dxa"/>
              <w:left w:w="0" w:type="dxa"/>
              <w:bottom w:w="0" w:type="dxa"/>
              <w:right w:w="0" w:type="dxa"/>
            </w:tcMar>
          </w:tcPr>
          <w:p w14:paraId="55AFE1B6" w14:textId="77777777" w:rsidR="00220327" w:rsidRDefault="00B51942">
            <w:pPr>
              <w:spacing w:before="240" w:after="240"/>
              <w:ind w:left="120" w:right="120"/>
              <w:jc w:val="center"/>
              <w:rPr>
                <w:b/>
                <w:sz w:val="18"/>
                <w:szCs w:val="18"/>
              </w:rPr>
            </w:pPr>
            <w:r>
              <w:rPr>
                <w:b/>
                <w:sz w:val="18"/>
                <w:szCs w:val="18"/>
              </w:rPr>
              <w:t>NAs</w:t>
            </w:r>
          </w:p>
        </w:tc>
      </w:tr>
      <w:tr w:rsidR="00220327" w14:paraId="5E7218B3" w14:textId="77777777">
        <w:trPr>
          <w:trHeight w:val="420"/>
        </w:trPr>
        <w:tc>
          <w:tcPr>
            <w:tcW w:w="100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6E765EF2" w14:textId="77777777" w:rsidR="00220327" w:rsidRDefault="00B51942">
            <w:pPr>
              <w:spacing w:before="240" w:after="240"/>
              <w:ind w:left="120" w:right="120"/>
              <w:jc w:val="center"/>
              <w:rPr>
                <w:b/>
                <w:sz w:val="18"/>
                <w:szCs w:val="18"/>
              </w:rPr>
            </w:pPr>
            <w:r>
              <w:rPr>
                <w:b/>
                <w:sz w:val="18"/>
                <w:szCs w:val="18"/>
              </w:rPr>
              <w:t>pls</w:t>
            </w:r>
          </w:p>
        </w:tc>
        <w:tc>
          <w:tcPr>
            <w:tcW w:w="112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4E2567DE" w14:textId="77777777" w:rsidR="00220327" w:rsidRDefault="00B51942">
            <w:pPr>
              <w:spacing w:before="240" w:after="240"/>
              <w:ind w:left="120" w:right="120"/>
              <w:jc w:val="center"/>
              <w:rPr>
                <w:sz w:val="18"/>
                <w:szCs w:val="18"/>
              </w:rPr>
            </w:pPr>
            <w:r>
              <w:rPr>
                <w:sz w:val="18"/>
                <w:szCs w:val="18"/>
              </w:rPr>
              <w:t>16.43975</w:t>
            </w:r>
          </w:p>
        </w:tc>
        <w:tc>
          <w:tcPr>
            <w:tcW w:w="103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0C0E9687" w14:textId="77777777" w:rsidR="00220327" w:rsidRDefault="00B51942">
            <w:pPr>
              <w:spacing w:before="240" w:after="240"/>
              <w:ind w:left="120" w:right="120"/>
              <w:jc w:val="center"/>
              <w:rPr>
                <w:sz w:val="18"/>
                <w:szCs w:val="18"/>
              </w:rPr>
            </w:pPr>
            <w:r>
              <w:rPr>
                <w:sz w:val="18"/>
                <w:szCs w:val="18"/>
              </w:rPr>
              <w:t>17.29781</w:t>
            </w:r>
          </w:p>
        </w:tc>
        <w:tc>
          <w:tcPr>
            <w:tcW w:w="105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26B17B95" w14:textId="77777777" w:rsidR="00220327" w:rsidRDefault="00B51942">
            <w:pPr>
              <w:spacing w:before="240" w:after="240"/>
              <w:ind w:left="120" w:right="120"/>
              <w:jc w:val="center"/>
              <w:rPr>
                <w:sz w:val="18"/>
                <w:szCs w:val="18"/>
              </w:rPr>
            </w:pPr>
            <w:r>
              <w:rPr>
                <w:sz w:val="18"/>
                <w:szCs w:val="18"/>
              </w:rPr>
              <w:t>17.61071</w:t>
            </w:r>
          </w:p>
        </w:tc>
        <w:tc>
          <w:tcPr>
            <w:tcW w:w="102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01DEC1FF" w14:textId="77777777" w:rsidR="00220327" w:rsidRDefault="00B51942">
            <w:pPr>
              <w:spacing w:before="240" w:after="240"/>
              <w:ind w:left="120" w:right="120"/>
              <w:jc w:val="center"/>
              <w:rPr>
                <w:sz w:val="18"/>
                <w:szCs w:val="18"/>
              </w:rPr>
            </w:pPr>
            <w:r>
              <w:rPr>
                <w:sz w:val="18"/>
                <w:szCs w:val="18"/>
              </w:rPr>
              <w:t>17.60081</w:t>
            </w:r>
          </w:p>
        </w:tc>
        <w:tc>
          <w:tcPr>
            <w:tcW w:w="111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59C51652" w14:textId="77777777" w:rsidR="00220327" w:rsidRDefault="00B51942">
            <w:pPr>
              <w:spacing w:before="240" w:after="240"/>
              <w:ind w:left="120" w:right="120"/>
              <w:jc w:val="center"/>
              <w:rPr>
                <w:sz w:val="18"/>
                <w:szCs w:val="18"/>
              </w:rPr>
            </w:pPr>
            <w:r>
              <w:rPr>
                <w:sz w:val="18"/>
                <w:szCs w:val="18"/>
              </w:rPr>
              <w:t>17.91624</w:t>
            </w:r>
          </w:p>
        </w:tc>
        <w:tc>
          <w:tcPr>
            <w:tcW w:w="108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78F63AF4" w14:textId="77777777" w:rsidR="00220327" w:rsidRDefault="00B51942">
            <w:pPr>
              <w:spacing w:before="240" w:after="240"/>
              <w:ind w:left="120" w:right="120"/>
              <w:jc w:val="center"/>
              <w:rPr>
                <w:sz w:val="18"/>
                <w:szCs w:val="18"/>
              </w:rPr>
            </w:pPr>
            <w:r>
              <w:rPr>
                <w:sz w:val="18"/>
                <w:szCs w:val="18"/>
              </w:rPr>
              <w:t xml:space="preserve">18.88724 </w:t>
            </w:r>
          </w:p>
        </w:tc>
        <w:tc>
          <w:tcPr>
            <w:tcW w:w="645" w:type="dxa"/>
            <w:tcBorders>
              <w:top w:val="nil"/>
              <w:left w:val="nil"/>
              <w:bottom w:val="single" w:sz="8" w:space="0" w:color="666666"/>
              <w:right w:val="nil"/>
            </w:tcBorders>
            <w:shd w:val="clear" w:color="auto" w:fill="EFEFEF"/>
            <w:tcMar>
              <w:top w:w="0" w:type="dxa"/>
              <w:left w:w="0" w:type="dxa"/>
              <w:bottom w:w="0" w:type="dxa"/>
              <w:right w:w="0" w:type="dxa"/>
            </w:tcMar>
          </w:tcPr>
          <w:p w14:paraId="19409A74" w14:textId="77777777" w:rsidR="00220327" w:rsidRDefault="00B51942">
            <w:pPr>
              <w:spacing w:before="240" w:after="240"/>
              <w:ind w:left="120" w:right="120"/>
              <w:jc w:val="center"/>
              <w:rPr>
                <w:sz w:val="18"/>
                <w:szCs w:val="18"/>
              </w:rPr>
            </w:pPr>
            <w:r>
              <w:rPr>
                <w:sz w:val="18"/>
                <w:szCs w:val="18"/>
              </w:rPr>
              <w:t>0</w:t>
            </w:r>
          </w:p>
        </w:tc>
      </w:tr>
      <w:tr w:rsidR="00220327" w14:paraId="285DF938" w14:textId="77777777">
        <w:trPr>
          <w:trHeight w:val="420"/>
        </w:trPr>
        <w:tc>
          <w:tcPr>
            <w:tcW w:w="1005" w:type="dxa"/>
            <w:tcBorders>
              <w:top w:val="nil"/>
              <w:left w:val="nil"/>
              <w:bottom w:val="single" w:sz="8" w:space="0" w:color="666666"/>
              <w:right w:val="single" w:sz="8" w:space="0" w:color="666666"/>
            </w:tcBorders>
            <w:tcMar>
              <w:top w:w="0" w:type="dxa"/>
              <w:left w:w="0" w:type="dxa"/>
              <w:bottom w:w="0" w:type="dxa"/>
              <w:right w:w="0" w:type="dxa"/>
            </w:tcMar>
          </w:tcPr>
          <w:p w14:paraId="5A2A6C95" w14:textId="77777777" w:rsidR="00220327" w:rsidRDefault="00B51942">
            <w:pPr>
              <w:spacing w:before="240" w:after="240"/>
              <w:ind w:left="120" w:right="120"/>
              <w:jc w:val="center"/>
              <w:rPr>
                <w:b/>
                <w:sz w:val="18"/>
                <w:szCs w:val="18"/>
              </w:rPr>
            </w:pPr>
            <w:r>
              <w:rPr>
                <w:b/>
                <w:sz w:val="18"/>
                <w:szCs w:val="18"/>
              </w:rPr>
              <w:t>earth</w:t>
            </w:r>
          </w:p>
        </w:tc>
        <w:tc>
          <w:tcPr>
            <w:tcW w:w="1125" w:type="dxa"/>
            <w:tcBorders>
              <w:top w:val="nil"/>
              <w:left w:val="nil"/>
              <w:bottom w:val="single" w:sz="8" w:space="0" w:color="666666"/>
              <w:right w:val="single" w:sz="8" w:space="0" w:color="666666"/>
            </w:tcBorders>
            <w:tcMar>
              <w:top w:w="0" w:type="dxa"/>
              <w:left w:w="0" w:type="dxa"/>
              <w:bottom w:w="0" w:type="dxa"/>
              <w:right w:w="0" w:type="dxa"/>
            </w:tcMar>
          </w:tcPr>
          <w:p w14:paraId="28947D00" w14:textId="77777777" w:rsidR="00220327" w:rsidRDefault="00B51942">
            <w:pPr>
              <w:spacing w:before="240" w:after="240"/>
              <w:ind w:left="120" w:right="120"/>
              <w:jc w:val="center"/>
              <w:rPr>
                <w:sz w:val="18"/>
                <w:szCs w:val="18"/>
              </w:rPr>
            </w:pPr>
            <w:r>
              <w:rPr>
                <w:sz w:val="18"/>
                <w:szCs w:val="18"/>
              </w:rPr>
              <w:t>16.45214</w:t>
            </w:r>
          </w:p>
        </w:tc>
        <w:tc>
          <w:tcPr>
            <w:tcW w:w="1035" w:type="dxa"/>
            <w:tcBorders>
              <w:top w:val="nil"/>
              <w:left w:val="nil"/>
              <w:bottom w:val="single" w:sz="8" w:space="0" w:color="666666"/>
              <w:right w:val="single" w:sz="8" w:space="0" w:color="666666"/>
            </w:tcBorders>
            <w:tcMar>
              <w:top w:w="0" w:type="dxa"/>
              <w:left w:w="0" w:type="dxa"/>
              <w:bottom w:w="0" w:type="dxa"/>
              <w:right w:w="0" w:type="dxa"/>
            </w:tcMar>
          </w:tcPr>
          <w:p w14:paraId="638C3FEA" w14:textId="77777777" w:rsidR="00220327" w:rsidRDefault="00B51942">
            <w:pPr>
              <w:spacing w:before="240" w:after="240"/>
              <w:ind w:left="120" w:right="120"/>
              <w:jc w:val="center"/>
              <w:rPr>
                <w:sz w:val="18"/>
                <w:szCs w:val="18"/>
              </w:rPr>
            </w:pPr>
            <w:r>
              <w:rPr>
                <w:sz w:val="18"/>
                <w:szCs w:val="18"/>
              </w:rPr>
              <w:t>17.49713</w:t>
            </w:r>
          </w:p>
        </w:tc>
        <w:tc>
          <w:tcPr>
            <w:tcW w:w="1050" w:type="dxa"/>
            <w:tcBorders>
              <w:top w:val="nil"/>
              <w:left w:val="nil"/>
              <w:bottom w:val="single" w:sz="8" w:space="0" w:color="666666"/>
              <w:right w:val="single" w:sz="8" w:space="0" w:color="666666"/>
            </w:tcBorders>
            <w:tcMar>
              <w:top w:w="0" w:type="dxa"/>
              <w:left w:w="0" w:type="dxa"/>
              <w:bottom w:w="0" w:type="dxa"/>
              <w:right w:w="0" w:type="dxa"/>
            </w:tcMar>
          </w:tcPr>
          <w:p w14:paraId="167CE8D3" w14:textId="77777777" w:rsidR="00220327" w:rsidRDefault="00B51942">
            <w:pPr>
              <w:spacing w:before="240" w:after="240"/>
              <w:ind w:left="120" w:right="120"/>
              <w:jc w:val="center"/>
              <w:rPr>
                <w:sz w:val="18"/>
                <w:szCs w:val="18"/>
              </w:rPr>
            </w:pPr>
            <w:r>
              <w:rPr>
                <w:sz w:val="18"/>
                <w:szCs w:val="18"/>
              </w:rPr>
              <w:t>17.83777</w:t>
            </w:r>
          </w:p>
        </w:tc>
        <w:tc>
          <w:tcPr>
            <w:tcW w:w="1020" w:type="dxa"/>
            <w:tcBorders>
              <w:top w:val="nil"/>
              <w:left w:val="nil"/>
              <w:bottom w:val="single" w:sz="8" w:space="0" w:color="666666"/>
              <w:right w:val="single" w:sz="8" w:space="0" w:color="666666"/>
            </w:tcBorders>
            <w:tcMar>
              <w:top w:w="0" w:type="dxa"/>
              <w:left w:w="0" w:type="dxa"/>
              <w:bottom w:w="0" w:type="dxa"/>
              <w:right w:w="0" w:type="dxa"/>
            </w:tcMar>
          </w:tcPr>
          <w:p w14:paraId="50FCA0F2" w14:textId="77777777" w:rsidR="00220327" w:rsidRDefault="00B51942">
            <w:pPr>
              <w:spacing w:before="240" w:after="240"/>
              <w:ind w:left="120" w:right="120"/>
              <w:jc w:val="center"/>
              <w:rPr>
                <w:sz w:val="18"/>
                <w:szCs w:val="18"/>
              </w:rPr>
            </w:pPr>
            <w:r>
              <w:rPr>
                <w:sz w:val="18"/>
                <w:szCs w:val="18"/>
              </w:rPr>
              <w:t>17.87083</w:t>
            </w:r>
          </w:p>
        </w:tc>
        <w:tc>
          <w:tcPr>
            <w:tcW w:w="1110" w:type="dxa"/>
            <w:tcBorders>
              <w:top w:val="nil"/>
              <w:left w:val="nil"/>
              <w:bottom w:val="single" w:sz="8" w:space="0" w:color="666666"/>
              <w:right w:val="single" w:sz="8" w:space="0" w:color="666666"/>
            </w:tcBorders>
            <w:tcMar>
              <w:top w:w="0" w:type="dxa"/>
              <w:left w:w="0" w:type="dxa"/>
              <w:bottom w:w="0" w:type="dxa"/>
              <w:right w:w="0" w:type="dxa"/>
            </w:tcMar>
          </w:tcPr>
          <w:p w14:paraId="06B749E5" w14:textId="77777777" w:rsidR="00220327" w:rsidRDefault="00B51942">
            <w:pPr>
              <w:spacing w:before="240" w:after="240"/>
              <w:ind w:left="120" w:right="120"/>
              <w:jc w:val="center"/>
              <w:rPr>
                <w:sz w:val="18"/>
                <w:szCs w:val="18"/>
              </w:rPr>
            </w:pPr>
            <w:r>
              <w:rPr>
                <w:sz w:val="18"/>
                <w:szCs w:val="18"/>
              </w:rPr>
              <w:t>18.16739</w:t>
            </w:r>
          </w:p>
        </w:tc>
        <w:tc>
          <w:tcPr>
            <w:tcW w:w="1080" w:type="dxa"/>
            <w:tcBorders>
              <w:top w:val="nil"/>
              <w:left w:val="nil"/>
              <w:bottom w:val="single" w:sz="8" w:space="0" w:color="666666"/>
              <w:right w:val="single" w:sz="8" w:space="0" w:color="666666"/>
            </w:tcBorders>
            <w:tcMar>
              <w:top w:w="0" w:type="dxa"/>
              <w:left w:w="0" w:type="dxa"/>
              <w:bottom w:w="0" w:type="dxa"/>
              <w:right w:w="0" w:type="dxa"/>
            </w:tcMar>
          </w:tcPr>
          <w:p w14:paraId="409A91D6" w14:textId="77777777" w:rsidR="00220327" w:rsidRDefault="00B51942">
            <w:pPr>
              <w:spacing w:before="240" w:after="240"/>
              <w:ind w:left="120" w:right="120"/>
              <w:jc w:val="center"/>
              <w:rPr>
                <w:sz w:val="18"/>
                <w:szCs w:val="18"/>
              </w:rPr>
            </w:pPr>
            <w:r>
              <w:rPr>
                <w:sz w:val="18"/>
                <w:szCs w:val="18"/>
              </w:rPr>
              <w:t xml:space="preserve">49.88780 </w:t>
            </w:r>
          </w:p>
        </w:tc>
        <w:tc>
          <w:tcPr>
            <w:tcW w:w="645" w:type="dxa"/>
            <w:tcBorders>
              <w:top w:val="nil"/>
              <w:left w:val="nil"/>
              <w:bottom w:val="single" w:sz="8" w:space="0" w:color="666666"/>
              <w:right w:val="nil"/>
            </w:tcBorders>
            <w:tcMar>
              <w:top w:w="0" w:type="dxa"/>
              <w:left w:w="0" w:type="dxa"/>
              <w:bottom w:w="0" w:type="dxa"/>
              <w:right w:w="0" w:type="dxa"/>
            </w:tcMar>
          </w:tcPr>
          <w:p w14:paraId="04D988B3" w14:textId="77777777" w:rsidR="00220327" w:rsidRDefault="00B51942">
            <w:pPr>
              <w:spacing w:before="240" w:after="240"/>
              <w:ind w:left="120" w:right="120"/>
              <w:jc w:val="center"/>
              <w:rPr>
                <w:sz w:val="18"/>
                <w:szCs w:val="18"/>
              </w:rPr>
            </w:pPr>
            <w:r>
              <w:rPr>
                <w:sz w:val="18"/>
                <w:szCs w:val="18"/>
              </w:rPr>
              <w:t>0</w:t>
            </w:r>
          </w:p>
        </w:tc>
      </w:tr>
      <w:tr w:rsidR="00220327" w14:paraId="59B1B3EC" w14:textId="77777777">
        <w:trPr>
          <w:trHeight w:val="420"/>
        </w:trPr>
        <w:tc>
          <w:tcPr>
            <w:tcW w:w="100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382EAA0B" w14:textId="77777777" w:rsidR="00220327" w:rsidRDefault="00B51942">
            <w:pPr>
              <w:spacing w:before="240" w:after="240"/>
              <w:ind w:left="120" w:right="120"/>
              <w:jc w:val="center"/>
              <w:rPr>
                <w:b/>
                <w:sz w:val="18"/>
                <w:szCs w:val="18"/>
              </w:rPr>
            </w:pPr>
            <w:r>
              <w:rPr>
                <w:b/>
                <w:sz w:val="18"/>
                <w:szCs w:val="18"/>
              </w:rPr>
              <w:t>lasso</w:t>
            </w:r>
          </w:p>
        </w:tc>
        <w:tc>
          <w:tcPr>
            <w:tcW w:w="112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713E3385" w14:textId="77777777" w:rsidR="00220327" w:rsidRDefault="00B51942">
            <w:pPr>
              <w:spacing w:before="240" w:after="240"/>
              <w:ind w:left="120" w:right="120"/>
              <w:jc w:val="center"/>
              <w:rPr>
                <w:sz w:val="18"/>
                <w:szCs w:val="18"/>
              </w:rPr>
            </w:pPr>
            <w:r>
              <w:rPr>
                <w:sz w:val="18"/>
                <w:szCs w:val="18"/>
              </w:rPr>
              <w:t>16.20758</w:t>
            </w:r>
          </w:p>
        </w:tc>
        <w:tc>
          <w:tcPr>
            <w:tcW w:w="103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7A4B791D" w14:textId="77777777" w:rsidR="00220327" w:rsidRDefault="00B51942">
            <w:pPr>
              <w:spacing w:before="240" w:after="240"/>
              <w:ind w:left="120" w:right="120"/>
              <w:jc w:val="center"/>
              <w:rPr>
                <w:sz w:val="18"/>
                <w:szCs w:val="18"/>
              </w:rPr>
            </w:pPr>
            <w:r>
              <w:rPr>
                <w:sz w:val="18"/>
                <w:szCs w:val="18"/>
              </w:rPr>
              <w:t>17.12313</w:t>
            </w:r>
          </w:p>
        </w:tc>
        <w:tc>
          <w:tcPr>
            <w:tcW w:w="105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3C723ADB" w14:textId="77777777" w:rsidR="00220327" w:rsidRDefault="00B51942">
            <w:pPr>
              <w:spacing w:before="240" w:after="240"/>
              <w:ind w:left="120" w:right="120"/>
              <w:jc w:val="center"/>
              <w:rPr>
                <w:sz w:val="18"/>
                <w:szCs w:val="18"/>
              </w:rPr>
            </w:pPr>
            <w:r>
              <w:rPr>
                <w:sz w:val="18"/>
                <w:szCs w:val="18"/>
              </w:rPr>
              <w:t>17.42886</w:t>
            </w:r>
          </w:p>
        </w:tc>
        <w:tc>
          <w:tcPr>
            <w:tcW w:w="102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0548BE00" w14:textId="77777777" w:rsidR="00220327" w:rsidRDefault="00B51942">
            <w:pPr>
              <w:spacing w:before="240" w:after="240"/>
              <w:ind w:left="120" w:right="120"/>
              <w:jc w:val="center"/>
              <w:rPr>
                <w:sz w:val="18"/>
                <w:szCs w:val="18"/>
              </w:rPr>
            </w:pPr>
            <w:r>
              <w:rPr>
                <w:sz w:val="18"/>
                <w:szCs w:val="18"/>
              </w:rPr>
              <w:t>17.44672</w:t>
            </w:r>
          </w:p>
        </w:tc>
        <w:tc>
          <w:tcPr>
            <w:tcW w:w="111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52ADC2B1" w14:textId="77777777" w:rsidR="00220327" w:rsidRDefault="00B51942">
            <w:pPr>
              <w:spacing w:before="240" w:after="240"/>
              <w:ind w:left="120" w:right="120"/>
              <w:jc w:val="center"/>
              <w:rPr>
                <w:sz w:val="18"/>
                <w:szCs w:val="18"/>
              </w:rPr>
            </w:pPr>
            <w:r>
              <w:rPr>
                <w:sz w:val="18"/>
                <w:szCs w:val="18"/>
              </w:rPr>
              <w:t>17.74571</w:t>
            </w:r>
          </w:p>
        </w:tc>
        <w:tc>
          <w:tcPr>
            <w:tcW w:w="108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tcPr>
          <w:p w14:paraId="6F12DF15" w14:textId="77777777" w:rsidR="00220327" w:rsidRDefault="00B51942">
            <w:pPr>
              <w:spacing w:before="240" w:after="240"/>
              <w:ind w:left="120" w:right="120"/>
              <w:jc w:val="center"/>
              <w:rPr>
                <w:sz w:val="18"/>
                <w:szCs w:val="18"/>
              </w:rPr>
            </w:pPr>
            <w:r>
              <w:rPr>
                <w:sz w:val="18"/>
                <w:szCs w:val="18"/>
              </w:rPr>
              <w:t>19.31604</w:t>
            </w:r>
          </w:p>
        </w:tc>
        <w:tc>
          <w:tcPr>
            <w:tcW w:w="645" w:type="dxa"/>
            <w:tcBorders>
              <w:top w:val="nil"/>
              <w:left w:val="nil"/>
              <w:bottom w:val="single" w:sz="8" w:space="0" w:color="666666"/>
              <w:right w:val="nil"/>
            </w:tcBorders>
            <w:shd w:val="clear" w:color="auto" w:fill="EFEFEF"/>
            <w:tcMar>
              <w:top w:w="0" w:type="dxa"/>
              <w:left w:w="0" w:type="dxa"/>
              <w:bottom w:w="0" w:type="dxa"/>
              <w:right w:w="0" w:type="dxa"/>
            </w:tcMar>
          </w:tcPr>
          <w:p w14:paraId="42052037" w14:textId="77777777" w:rsidR="00220327" w:rsidRDefault="00B51942">
            <w:pPr>
              <w:spacing w:before="240" w:after="240"/>
              <w:ind w:left="120" w:right="120"/>
              <w:jc w:val="center"/>
              <w:rPr>
                <w:sz w:val="18"/>
                <w:szCs w:val="18"/>
              </w:rPr>
            </w:pPr>
            <w:r>
              <w:rPr>
                <w:sz w:val="18"/>
                <w:szCs w:val="18"/>
              </w:rPr>
              <w:t>0</w:t>
            </w:r>
          </w:p>
        </w:tc>
      </w:tr>
      <w:tr w:rsidR="00220327" w14:paraId="2A30A763" w14:textId="77777777">
        <w:trPr>
          <w:trHeight w:val="420"/>
        </w:trPr>
        <w:tc>
          <w:tcPr>
            <w:tcW w:w="1005" w:type="dxa"/>
            <w:tcBorders>
              <w:top w:val="nil"/>
              <w:left w:val="nil"/>
              <w:bottom w:val="single" w:sz="8" w:space="0" w:color="666666"/>
              <w:right w:val="single" w:sz="8" w:space="0" w:color="666666"/>
            </w:tcBorders>
            <w:tcMar>
              <w:top w:w="0" w:type="dxa"/>
              <w:left w:w="0" w:type="dxa"/>
              <w:bottom w:w="0" w:type="dxa"/>
              <w:right w:w="0" w:type="dxa"/>
            </w:tcMar>
          </w:tcPr>
          <w:p w14:paraId="11504BB0" w14:textId="77777777" w:rsidR="00220327" w:rsidRDefault="00B51942">
            <w:pPr>
              <w:spacing w:before="240" w:after="240"/>
              <w:ind w:left="120" w:right="120"/>
              <w:jc w:val="center"/>
              <w:rPr>
                <w:b/>
                <w:sz w:val="18"/>
                <w:szCs w:val="18"/>
              </w:rPr>
            </w:pPr>
            <w:r>
              <w:rPr>
                <w:b/>
                <w:sz w:val="18"/>
                <w:szCs w:val="18"/>
              </w:rPr>
              <w:t>ridge</w:t>
            </w:r>
          </w:p>
        </w:tc>
        <w:tc>
          <w:tcPr>
            <w:tcW w:w="1125" w:type="dxa"/>
            <w:tcBorders>
              <w:top w:val="nil"/>
              <w:left w:val="nil"/>
              <w:bottom w:val="single" w:sz="8" w:space="0" w:color="666666"/>
              <w:right w:val="single" w:sz="8" w:space="0" w:color="666666"/>
            </w:tcBorders>
            <w:tcMar>
              <w:top w:w="0" w:type="dxa"/>
              <w:left w:w="0" w:type="dxa"/>
              <w:bottom w:w="0" w:type="dxa"/>
              <w:right w:w="0" w:type="dxa"/>
            </w:tcMar>
          </w:tcPr>
          <w:p w14:paraId="50746871" w14:textId="77777777" w:rsidR="00220327" w:rsidRDefault="00B51942">
            <w:pPr>
              <w:spacing w:before="240" w:after="240"/>
              <w:ind w:left="120" w:right="120"/>
              <w:jc w:val="center"/>
              <w:rPr>
                <w:sz w:val="18"/>
                <w:szCs w:val="18"/>
              </w:rPr>
            </w:pPr>
            <w:r>
              <w:rPr>
                <w:sz w:val="18"/>
                <w:szCs w:val="18"/>
              </w:rPr>
              <w:t>16.33358</w:t>
            </w:r>
          </w:p>
        </w:tc>
        <w:tc>
          <w:tcPr>
            <w:tcW w:w="1035" w:type="dxa"/>
            <w:tcBorders>
              <w:top w:val="nil"/>
              <w:left w:val="nil"/>
              <w:bottom w:val="single" w:sz="8" w:space="0" w:color="666666"/>
              <w:right w:val="single" w:sz="8" w:space="0" w:color="666666"/>
            </w:tcBorders>
            <w:tcMar>
              <w:top w:w="0" w:type="dxa"/>
              <w:left w:w="0" w:type="dxa"/>
              <w:bottom w:w="0" w:type="dxa"/>
              <w:right w:w="0" w:type="dxa"/>
            </w:tcMar>
          </w:tcPr>
          <w:p w14:paraId="1CD79829" w14:textId="77777777" w:rsidR="00220327" w:rsidRDefault="00B51942">
            <w:pPr>
              <w:spacing w:before="240" w:after="240"/>
              <w:ind w:left="120" w:right="120"/>
              <w:jc w:val="center"/>
              <w:rPr>
                <w:sz w:val="18"/>
                <w:szCs w:val="18"/>
              </w:rPr>
            </w:pPr>
            <w:r>
              <w:rPr>
                <w:sz w:val="18"/>
                <w:szCs w:val="18"/>
              </w:rPr>
              <w:t>17.39467</w:t>
            </w:r>
          </w:p>
        </w:tc>
        <w:tc>
          <w:tcPr>
            <w:tcW w:w="1050" w:type="dxa"/>
            <w:tcBorders>
              <w:top w:val="nil"/>
              <w:left w:val="nil"/>
              <w:bottom w:val="single" w:sz="8" w:space="0" w:color="666666"/>
              <w:right w:val="single" w:sz="8" w:space="0" w:color="666666"/>
            </w:tcBorders>
            <w:tcMar>
              <w:top w:w="0" w:type="dxa"/>
              <w:left w:w="0" w:type="dxa"/>
              <w:bottom w:w="0" w:type="dxa"/>
              <w:right w:w="0" w:type="dxa"/>
            </w:tcMar>
          </w:tcPr>
          <w:p w14:paraId="15F51FF5" w14:textId="77777777" w:rsidR="00220327" w:rsidRDefault="00B51942">
            <w:pPr>
              <w:spacing w:before="240" w:after="240"/>
              <w:ind w:left="120" w:right="120"/>
              <w:jc w:val="center"/>
              <w:rPr>
                <w:sz w:val="18"/>
                <w:szCs w:val="18"/>
              </w:rPr>
            </w:pPr>
            <w:r>
              <w:rPr>
                <w:sz w:val="18"/>
                <w:szCs w:val="18"/>
              </w:rPr>
              <w:t>17.69157</w:t>
            </w:r>
          </w:p>
        </w:tc>
        <w:tc>
          <w:tcPr>
            <w:tcW w:w="1020" w:type="dxa"/>
            <w:tcBorders>
              <w:top w:val="nil"/>
              <w:left w:val="nil"/>
              <w:bottom w:val="single" w:sz="8" w:space="0" w:color="666666"/>
              <w:right w:val="single" w:sz="8" w:space="0" w:color="666666"/>
            </w:tcBorders>
            <w:tcMar>
              <w:top w:w="0" w:type="dxa"/>
              <w:left w:w="0" w:type="dxa"/>
              <w:bottom w:w="0" w:type="dxa"/>
              <w:right w:w="0" w:type="dxa"/>
            </w:tcMar>
          </w:tcPr>
          <w:p w14:paraId="77D7C348" w14:textId="77777777" w:rsidR="00220327" w:rsidRDefault="00B51942">
            <w:pPr>
              <w:spacing w:before="240" w:after="240"/>
              <w:ind w:left="120" w:right="120"/>
              <w:jc w:val="center"/>
              <w:rPr>
                <w:sz w:val="18"/>
                <w:szCs w:val="18"/>
              </w:rPr>
            </w:pPr>
            <w:r>
              <w:rPr>
                <w:sz w:val="18"/>
                <w:szCs w:val="18"/>
              </w:rPr>
              <w:t>17.68750</w:t>
            </w:r>
          </w:p>
        </w:tc>
        <w:tc>
          <w:tcPr>
            <w:tcW w:w="1110" w:type="dxa"/>
            <w:tcBorders>
              <w:top w:val="nil"/>
              <w:left w:val="nil"/>
              <w:bottom w:val="single" w:sz="8" w:space="0" w:color="666666"/>
              <w:right w:val="single" w:sz="8" w:space="0" w:color="666666"/>
            </w:tcBorders>
            <w:tcMar>
              <w:top w:w="0" w:type="dxa"/>
              <w:left w:w="0" w:type="dxa"/>
              <w:bottom w:w="0" w:type="dxa"/>
              <w:right w:w="0" w:type="dxa"/>
            </w:tcMar>
          </w:tcPr>
          <w:p w14:paraId="2B6B93B9" w14:textId="77777777" w:rsidR="00220327" w:rsidRDefault="00B51942">
            <w:pPr>
              <w:spacing w:before="240" w:after="240"/>
              <w:ind w:left="120" w:right="120"/>
              <w:jc w:val="center"/>
              <w:rPr>
                <w:sz w:val="18"/>
                <w:szCs w:val="18"/>
              </w:rPr>
            </w:pPr>
            <w:r>
              <w:rPr>
                <w:sz w:val="18"/>
                <w:szCs w:val="18"/>
              </w:rPr>
              <w:t>17.98259</w:t>
            </w:r>
          </w:p>
        </w:tc>
        <w:tc>
          <w:tcPr>
            <w:tcW w:w="1080" w:type="dxa"/>
            <w:tcBorders>
              <w:top w:val="nil"/>
              <w:left w:val="nil"/>
              <w:bottom w:val="single" w:sz="8" w:space="0" w:color="666666"/>
              <w:right w:val="single" w:sz="8" w:space="0" w:color="666666"/>
            </w:tcBorders>
            <w:tcMar>
              <w:top w:w="0" w:type="dxa"/>
              <w:left w:w="0" w:type="dxa"/>
              <w:bottom w:w="0" w:type="dxa"/>
              <w:right w:w="0" w:type="dxa"/>
            </w:tcMar>
          </w:tcPr>
          <w:p w14:paraId="590EEFB4" w14:textId="77777777" w:rsidR="00220327" w:rsidRDefault="00B51942">
            <w:pPr>
              <w:spacing w:before="240" w:after="240"/>
              <w:ind w:left="120" w:right="120"/>
              <w:jc w:val="center"/>
              <w:rPr>
                <w:sz w:val="18"/>
                <w:szCs w:val="18"/>
              </w:rPr>
            </w:pPr>
            <w:r>
              <w:rPr>
                <w:sz w:val="18"/>
                <w:szCs w:val="18"/>
              </w:rPr>
              <w:t xml:space="preserve">19.06807   </w:t>
            </w:r>
          </w:p>
        </w:tc>
        <w:tc>
          <w:tcPr>
            <w:tcW w:w="645" w:type="dxa"/>
            <w:tcBorders>
              <w:top w:val="nil"/>
              <w:left w:val="nil"/>
              <w:bottom w:val="single" w:sz="8" w:space="0" w:color="666666"/>
              <w:right w:val="nil"/>
            </w:tcBorders>
            <w:tcMar>
              <w:top w:w="0" w:type="dxa"/>
              <w:left w:w="0" w:type="dxa"/>
              <w:bottom w:w="0" w:type="dxa"/>
              <w:right w:w="0" w:type="dxa"/>
            </w:tcMar>
          </w:tcPr>
          <w:p w14:paraId="2D0EC1E1" w14:textId="77777777" w:rsidR="00220327" w:rsidRDefault="00B51942">
            <w:pPr>
              <w:spacing w:before="240" w:after="240"/>
              <w:ind w:left="120" w:right="120"/>
              <w:jc w:val="center"/>
              <w:rPr>
                <w:sz w:val="18"/>
                <w:szCs w:val="18"/>
              </w:rPr>
            </w:pPr>
            <w:r>
              <w:rPr>
                <w:sz w:val="18"/>
                <w:szCs w:val="18"/>
              </w:rPr>
              <w:t>0</w:t>
            </w:r>
          </w:p>
        </w:tc>
      </w:tr>
    </w:tbl>
    <w:p w14:paraId="279241DB" w14:textId="77777777" w:rsidR="00220327" w:rsidRDefault="00220327">
      <w:pPr>
        <w:spacing w:before="240" w:after="240"/>
        <w:rPr>
          <w:sz w:val="18"/>
          <w:szCs w:val="18"/>
        </w:rPr>
      </w:pPr>
    </w:p>
    <w:p w14:paraId="30F52D93" w14:textId="77777777" w:rsidR="00220327" w:rsidRDefault="00B51942">
      <w:pPr>
        <w:spacing w:before="240" w:after="240"/>
        <w:ind w:firstLine="720"/>
      </w:pPr>
      <w:r>
        <w:t>All of our models had performed similarly, with a minimum out of sample RMSE of between 16.2 to about 16.45. Although the Earth model did not perform the best, looking at the inputs included in the final pruned model could yield some insight, as it tends t</w:t>
      </w:r>
      <w:r>
        <w:t>o produce sparse models. Below are the variables used in the final model ranked by the reduction in out of sample cross validation error (scaled 0 to 100):</w:t>
      </w:r>
    </w:p>
    <w:p w14:paraId="48E23106" w14:textId="77777777" w:rsidR="00220327" w:rsidRDefault="00B51942">
      <w:pPr>
        <w:spacing w:before="240" w:after="240"/>
        <w:jc w:val="center"/>
      </w:pPr>
      <w:r>
        <w:rPr>
          <w:noProof/>
          <w:lang w:val="en-US"/>
        </w:rPr>
        <w:lastRenderedPageBreak/>
        <w:drawing>
          <wp:inline distT="114300" distB="114300" distL="114300" distR="114300" wp14:anchorId="54424A12" wp14:editId="0E206A09">
            <wp:extent cx="3139916" cy="16525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139916" cy="1652588"/>
                    </a:xfrm>
                    <a:prstGeom prst="rect">
                      <a:avLst/>
                    </a:prstGeom>
                    <a:ln/>
                  </pic:spPr>
                </pic:pic>
              </a:graphicData>
            </a:graphic>
          </wp:inline>
        </w:drawing>
      </w:r>
    </w:p>
    <w:p w14:paraId="287F9E1B" w14:textId="77777777" w:rsidR="00220327" w:rsidRDefault="00B51942">
      <w:pPr>
        <w:spacing w:before="240" w:after="240"/>
        <w:ind w:firstLine="720"/>
      </w:pPr>
      <w:r>
        <w:t xml:space="preserve">Surprisingly, the earth model found that the difference in the average rating of freshman players </w:t>
      </w:r>
      <w:r>
        <w:t xml:space="preserve">was highly predictive. This seems counterintuitive since seniors and juniors usually make up the bulk of the players, but perhaps after accounting for the overall quality of the teams in terms of points and yards, freshman talent can start to come on late </w:t>
      </w:r>
      <w:r>
        <w:t>in the year and play a role in blowout game spreads. Additionally, freshmen may play more later in the season as injuries begin to reshape rosters. Transfers have also started to run rampant in college sports, so perhaps after a few years, most of the play</w:t>
      </w:r>
      <w:r>
        <w:t>ers in a given class have moved onto other programs. Notably, the model does include the difference in the number of junior commits as a variable so our conventional wisdom that upperclassmen are more important is captured to an extent.</w:t>
      </w:r>
    </w:p>
    <w:p w14:paraId="42E12D01" w14:textId="77777777" w:rsidR="00220327" w:rsidRDefault="00B51942">
      <w:pPr>
        <w:spacing w:before="240" w:after="240"/>
        <w:ind w:firstLine="720"/>
      </w:pPr>
      <w:r>
        <w:t>Our lasso model cho</w:t>
      </w:r>
      <w:r>
        <w:t xml:space="preserve">ose similar, but many more variables to include. Our conference variables were not included in the Earth model and were not highly significant for the lasso. Conventional wisdom would think that a bad team in a power five conference would be better than a </w:t>
      </w:r>
      <w:r>
        <w:t>similar team statistically than a group of 5 team. We even engineered a binary variable indicating if the team was in the power 5 or not, and this was not highly significant either. Although this analysis has been quite basic, preliminary results show that</w:t>
      </w:r>
      <w:r>
        <w:t xml:space="preserve"> a team’s conference is not as important for predicting their performance compared to other variables. Whether or not a team is FCS or not; however, does appear to be significant, as a wildly inaccurate prediction on our test set was generated because it t</w:t>
      </w:r>
      <w:r>
        <w:t xml:space="preserve">hought Miami was an FCS team. Therefore, we kept the conference variables in the models, knowing that it may be significant, just less predictive than other information. </w:t>
      </w:r>
    </w:p>
    <w:p w14:paraId="538845DF" w14:textId="77777777" w:rsidR="00220327" w:rsidRDefault="00B51942">
      <w:pPr>
        <w:spacing w:before="240" w:after="240"/>
        <w:ind w:firstLine="720"/>
      </w:pPr>
      <w:r>
        <w:t>In addition to the models presented in the table, we trained a stacked model, which w</w:t>
      </w:r>
      <w:r>
        <w:t>as a linear regression on the predictions of the other four on 100 bootstrapped random samples. We discussed using different weighting schemes to average our predictions, but this was the more conservative approach as methods such as greedy optimization co</w:t>
      </w:r>
      <w:r>
        <w:t xml:space="preserve">uld lead to overfitting. When we previously instituted a simple train and test split, the stacked model performed the best, so we will use that for our final predictions, and it will also be the most conservative approach. </w:t>
      </w:r>
    </w:p>
    <w:p w14:paraId="2DED52EE" w14:textId="77777777" w:rsidR="00220327" w:rsidRDefault="00B51942">
      <w:pPr>
        <w:spacing w:before="240" w:after="240"/>
        <w:ind w:firstLine="720"/>
      </w:pPr>
      <w:r>
        <w:t xml:space="preserve">Although we will mostly relied on our stacked model for predicting the spread, we made some manual changes to our predictions as we did not collect statistics or results from games since the final week in the GameResults dataset. We decided not to collect </w:t>
      </w:r>
      <w:r>
        <w:t xml:space="preserve">recent stats as it is very late in the season, so our predictor variables would not be highly influenced by these </w:t>
      </w:r>
      <w:r>
        <w:lastRenderedPageBreak/>
        <w:t>outcomes anyway. It also might be computationally expensive. We would account for significant recent outcomes through manual changing of sprea</w:t>
      </w:r>
      <w:r>
        <w:t>ds. The main teams that have had been particularly horrible and since our GameResults dataset have been NC State and Syracuse (they’ve both lost 3 in a row, sometimes badly). Miami and Virginia Tech have also been pretty good recently, the former winning 3</w:t>
      </w:r>
      <w:r>
        <w:t xml:space="preserve"> straight and the latter hanging with Notre Dame and beating Wake by 19 points. In addition to not incorporating recent weeks, our model treats the spread as a continuous response variable when it is actually discrete. We used manual changing to account fo</w:t>
      </w:r>
      <w:r>
        <w:t>r this as well. ESPN FPI [3] was used heavily in addition to recent results for both changing and rounding the spread to a common football spreads. When in doubt, we rounded to the nearest common football spread (such as 7 or 10). The only large changes ma</w:t>
      </w:r>
      <w:r>
        <w:t>de were in extreme cases that we discussed above, such as where the team has lost by 3 touchdowns or more in 3 straight weeks (NC State) or when a team was given too much credit for being in a good conference (Liberty was liked by our model because of bein</w:t>
      </w:r>
      <w:r>
        <w:t>g an independent). Additionally, for the first weekend in our predictions, we regressed our predictions to the Bovada Vegas line [4].</w:t>
      </w:r>
    </w:p>
    <w:p w14:paraId="049342EA" w14:textId="77777777" w:rsidR="00220327" w:rsidRDefault="00B51942">
      <w:pPr>
        <w:spacing w:before="240" w:after="240"/>
        <w:rPr>
          <w:b/>
          <w:sz w:val="48"/>
          <w:szCs w:val="48"/>
        </w:rPr>
      </w:pPr>
      <w:r>
        <w:rPr>
          <w:b/>
          <w:sz w:val="48"/>
          <w:szCs w:val="48"/>
        </w:rPr>
        <w:t>Methodology for Total Points</w:t>
      </w:r>
    </w:p>
    <w:p w14:paraId="207AC54E" w14:textId="77777777" w:rsidR="00220327" w:rsidRDefault="00B51942">
      <w:pPr>
        <w:spacing w:before="240" w:after="240"/>
        <w:ind w:firstLine="720"/>
      </w:pPr>
      <w:r>
        <w:t>For predicting the total points, histograms showed that the response variable might be skewed</w:t>
      </w:r>
      <w:r>
        <w:t>. Therefore, we performed a log transformation on our response in order to achieve a lower out sample error rate. We ran regressions with and without this transformation to see which achieved a lower out of sample error. This transformation did not help th</w:t>
      </w:r>
      <w:r>
        <w:t>e predictions so we elected to leave it out. Additionally, we reversed the transformation of the variables that we made for the spread and result: instead of taking the difference in stats, we took the sum of the game stats and the recruiting data. We trai</w:t>
      </w:r>
      <w:r>
        <w:t xml:space="preserve">ned models doing both the difference and the sum of our variables, and the sum proved to be more predictive for both types of variables (game stats and recruiting). Below are the summary statistics of the out of sample MAEs across all our 100 bootstrapped </w:t>
      </w:r>
      <w:r>
        <w:t xml:space="preserve">samples. </w:t>
      </w:r>
    </w:p>
    <w:tbl>
      <w:tblPr>
        <w:tblStyle w:val="a0"/>
        <w:tblW w:w="858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900"/>
        <w:gridCol w:w="1050"/>
        <w:gridCol w:w="1155"/>
        <w:gridCol w:w="1185"/>
        <w:gridCol w:w="1170"/>
        <w:gridCol w:w="1230"/>
        <w:gridCol w:w="1095"/>
        <w:gridCol w:w="795"/>
      </w:tblGrid>
      <w:tr w:rsidR="00220327" w14:paraId="529CA67C" w14:textId="77777777">
        <w:trPr>
          <w:trHeight w:val="420"/>
        </w:trPr>
        <w:tc>
          <w:tcPr>
            <w:tcW w:w="900" w:type="dxa"/>
            <w:tcBorders>
              <w:top w:val="nil"/>
              <w:left w:val="nil"/>
              <w:bottom w:val="single" w:sz="12" w:space="0" w:color="666666"/>
              <w:right w:val="nil"/>
            </w:tcBorders>
            <w:shd w:val="clear" w:color="auto" w:fill="FFFFFF"/>
            <w:tcMar>
              <w:top w:w="0" w:type="dxa"/>
              <w:left w:w="0" w:type="dxa"/>
              <w:bottom w:w="0" w:type="dxa"/>
              <w:right w:w="0" w:type="dxa"/>
            </w:tcMar>
          </w:tcPr>
          <w:p w14:paraId="20F000F4" w14:textId="77777777" w:rsidR="00220327" w:rsidRDefault="00B51942">
            <w:pPr>
              <w:spacing w:before="240" w:after="240"/>
              <w:ind w:left="120" w:right="120"/>
              <w:rPr>
                <w:b/>
                <w:sz w:val="18"/>
                <w:szCs w:val="18"/>
                <w:u w:val="single"/>
              </w:rPr>
            </w:pPr>
            <w:r>
              <w:rPr>
                <w:sz w:val="18"/>
                <w:szCs w:val="18"/>
              </w:rPr>
              <w:t xml:space="preserve"> </w:t>
            </w:r>
            <w:r>
              <w:rPr>
                <w:b/>
                <w:sz w:val="18"/>
                <w:szCs w:val="18"/>
                <w:u w:val="single"/>
              </w:rPr>
              <w:t>MAE</w:t>
            </w:r>
          </w:p>
        </w:tc>
        <w:tc>
          <w:tcPr>
            <w:tcW w:w="1050" w:type="dxa"/>
            <w:tcBorders>
              <w:top w:val="nil"/>
              <w:left w:val="nil"/>
              <w:bottom w:val="single" w:sz="12" w:space="0" w:color="666666"/>
              <w:right w:val="nil"/>
            </w:tcBorders>
            <w:shd w:val="clear" w:color="auto" w:fill="FFFFFF"/>
            <w:tcMar>
              <w:top w:w="0" w:type="dxa"/>
              <w:left w:w="0" w:type="dxa"/>
              <w:bottom w:w="0" w:type="dxa"/>
              <w:right w:w="0" w:type="dxa"/>
            </w:tcMar>
          </w:tcPr>
          <w:p w14:paraId="32614C49" w14:textId="77777777" w:rsidR="00220327" w:rsidRDefault="00B51942">
            <w:pPr>
              <w:spacing w:before="240" w:after="240"/>
              <w:ind w:left="120" w:right="120"/>
              <w:jc w:val="center"/>
              <w:rPr>
                <w:b/>
                <w:sz w:val="18"/>
                <w:szCs w:val="18"/>
              </w:rPr>
            </w:pPr>
            <w:r>
              <w:rPr>
                <w:b/>
                <w:sz w:val="18"/>
                <w:szCs w:val="18"/>
              </w:rPr>
              <w:t>Min</w:t>
            </w:r>
          </w:p>
        </w:tc>
        <w:tc>
          <w:tcPr>
            <w:tcW w:w="1155" w:type="dxa"/>
            <w:tcBorders>
              <w:top w:val="nil"/>
              <w:left w:val="nil"/>
              <w:bottom w:val="single" w:sz="12" w:space="0" w:color="666666"/>
              <w:right w:val="nil"/>
            </w:tcBorders>
            <w:shd w:val="clear" w:color="auto" w:fill="FFFFFF"/>
            <w:tcMar>
              <w:top w:w="0" w:type="dxa"/>
              <w:left w:w="0" w:type="dxa"/>
              <w:bottom w:w="0" w:type="dxa"/>
              <w:right w:w="0" w:type="dxa"/>
            </w:tcMar>
          </w:tcPr>
          <w:p w14:paraId="59B85679" w14:textId="77777777" w:rsidR="00220327" w:rsidRDefault="00B51942">
            <w:pPr>
              <w:spacing w:before="240" w:after="240"/>
              <w:ind w:left="120" w:right="120"/>
              <w:jc w:val="center"/>
              <w:rPr>
                <w:b/>
                <w:sz w:val="18"/>
                <w:szCs w:val="18"/>
              </w:rPr>
            </w:pPr>
            <w:r>
              <w:rPr>
                <w:b/>
                <w:sz w:val="18"/>
                <w:szCs w:val="18"/>
              </w:rPr>
              <w:t>1</w:t>
            </w:r>
            <w:r>
              <w:rPr>
                <w:b/>
                <w:sz w:val="18"/>
                <w:szCs w:val="18"/>
                <w:vertAlign w:val="superscript"/>
              </w:rPr>
              <w:t>st</w:t>
            </w:r>
            <w:r>
              <w:rPr>
                <w:b/>
                <w:sz w:val="18"/>
                <w:szCs w:val="18"/>
              </w:rPr>
              <w:t xml:space="preserve"> Q</w:t>
            </w:r>
          </w:p>
        </w:tc>
        <w:tc>
          <w:tcPr>
            <w:tcW w:w="1185" w:type="dxa"/>
            <w:tcBorders>
              <w:top w:val="nil"/>
              <w:left w:val="nil"/>
              <w:bottom w:val="single" w:sz="12" w:space="0" w:color="666666"/>
              <w:right w:val="nil"/>
            </w:tcBorders>
            <w:shd w:val="clear" w:color="auto" w:fill="FFFFFF"/>
            <w:tcMar>
              <w:top w:w="0" w:type="dxa"/>
              <w:left w:w="0" w:type="dxa"/>
              <w:bottom w:w="0" w:type="dxa"/>
              <w:right w:w="0" w:type="dxa"/>
            </w:tcMar>
          </w:tcPr>
          <w:p w14:paraId="0FDA4484" w14:textId="77777777" w:rsidR="00220327" w:rsidRDefault="00B51942">
            <w:pPr>
              <w:spacing w:before="240" w:after="240"/>
              <w:ind w:left="120" w:right="120"/>
              <w:jc w:val="center"/>
              <w:rPr>
                <w:b/>
                <w:sz w:val="18"/>
                <w:szCs w:val="18"/>
              </w:rPr>
            </w:pPr>
            <w:r>
              <w:rPr>
                <w:b/>
                <w:sz w:val="18"/>
                <w:szCs w:val="18"/>
              </w:rPr>
              <w:t>Median</w:t>
            </w:r>
          </w:p>
        </w:tc>
        <w:tc>
          <w:tcPr>
            <w:tcW w:w="1170" w:type="dxa"/>
            <w:tcBorders>
              <w:top w:val="nil"/>
              <w:left w:val="nil"/>
              <w:bottom w:val="single" w:sz="12" w:space="0" w:color="666666"/>
              <w:right w:val="nil"/>
            </w:tcBorders>
            <w:shd w:val="clear" w:color="auto" w:fill="FFFFFF"/>
            <w:tcMar>
              <w:top w:w="0" w:type="dxa"/>
              <w:left w:w="0" w:type="dxa"/>
              <w:bottom w:w="0" w:type="dxa"/>
              <w:right w:w="0" w:type="dxa"/>
            </w:tcMar>
          </w:tcPr>
          <w:p w14:paraId="4383264A" w14:textId="77777777" w:rsidR="00220327" w:rsidRDefault="00B51942">
            <w:pPr>
              <w:spacing w:before="240" w:after="240"/>
              <w:ind w:left="120" w:right="120"/>
              <w:jc w:val="center"/>
              <w:rPr>
                <w:b/>
                <w:sz w:val="18"/>
                <w:szCs w:val="18"/>
              </w:rPr>
            </w:pPr>
            <w:r>
              <w:rPr>
                <w:b/>
                <w:sz w:val="18"/>
                <w:szCs w:val="18"/>
              </w:rPr>
              <w:t>Mean</w:t>
            </w:r>
          </w:p>
        </w:tc>
        <w:tc>
          <w:tcPr>
            <w:tcW w:w="1230" w:type="dxa"/>
            <w:tcBorders>
              <w:top w:val="nil"/>
              <w:left w:val="nil"/>
              <w:bottom w:val="single" w:sz="12" w:space="0" w:color="666666"/>
              <w:right w:val="nil"/>
            </w:tcBorders>
            <w:shd w:val="clear" w:color="auto" w:fill="FFFFFF"/>
            <w:tcMar>
              <w:top w:w="0" w:type="dxa"/>
              <w:left w:w="0" w:type="dxa"/>
              <w:bottom w:w="0" w:type="dxa"/>
              <w:right w:w="0" w:type="dxa"/>
            </w:tcMar>
          </w:tcPr>
          <w:p w14:paraId="1960B06A" w14:textId="77777777" w:rsidR="00220327" w:rsidRDefault="00B51942">
            <w:pPr>
              <w:spacing w:before="240" w:after="240"/>
              <w:ind w:left="120" w:right="120"/>
              <w:jc w:val="center"/>
              <w:rPr>
                <w:b/>
                <w:sz w:val="18"/>
                <w:szCs w:val="18"/>
              </w:rPr>
            </w:pPr>
            <w:r>
              <w:rPr>
                <w:b/>
                <w:sz w:val="18"/>
                <w:szCs w:val="18"/>
              </w:rPr>
              <w:t>3</w:t>
            </w:r>
            <w:r>
              <w:rPr>
                <w:b/>
                <w:sz w:val="18"/>
                <w:szCs w:val="18"/>
                <w:vertAlign w:val="superscript"/>
              </w:rPr>
              <w:t>rd</w:t>
            </w:r>
            <w:r>
              <w:rPr>
                <w:b/>
                <w:sz w:val="18"/>
                <w:szCs w:val="18"/>
              </w:rPr>
              <w:t xml:space="preserve"> Q</w:t>
            </w:r>
          </w:p>
        </w:tc>
        <w:tc>
          <w:tcPr>
            <w:tcW w:w="1095" w:type="dxa"/>
            <w:tcBorders>
              <w:top w:val="nil"/>
              <w:left w:val="nil"/>
              <w:bottom w:val="single" w:sz="12" w:space="0" w:color="666666"/>
              <w:right w:val="nil"/>
            </w:tcBorders>
            <w:shd w:val="clear" w:color="auto" w:fill="FFFFFF"/>
            <w:tcMar>
              <w:top w:w="0" w:type="dxa"/>
              <w:left w:w="0" w:type="dxa"/>
              <w:bottom w:w="0" w:type="dxa"/>
              <w:right w:w="0" w:type="dxa"/>
            </w:tcMar>
          </w:tcPr>
          <w:p w14:paraId="2D5C8995" w14:textId="77777777" w:rsidR="00220327" w:rsidRDefault="00B51942">
            <w:pPr>
              <w:spacing w:before="240" w:after="240"/>
              <w:ind w:left="120" w:right="120"/>
              <w:jc w:val="center"/>
              <w:rPr>
                <w:b/>
                <w:sz w:val="18"/>
                <w:szCs w:val="18"/>
              </w:rPr>
            </w:pPr>
            <w:r>
              <w:rPr>
                <w:b/>
                <w:sz w:val="18"/>
                <w:szCs w:val="18"/>
              </w:rPr>
              <w:t>Max</w:t>
            </w:r>
          </w:p>
        </w:tc>
        <w:tc>
          <w:tcPr>
            <w:tcW w:w="795" w:type="dxa"/>
            <w:tcBorders>
              <w:top w:val="nil"/>
              <w:left w:val="nil"/>
              <w:bottom w:val="single" w:sz="12" w:space="0" w:color="666666"/>
              <w:right w:val="nil"/>
            </w:tcBorders>
            <w:shd w:val="clear" w:color="auto" w:fill="FFFFFF"/>
            <w:tcMar>
              <w:top w:w="0" w:type="dxa"/>
              <w:left w:w="0" w:type="dxa"/>
              <w:bottom w:w="0" w:type="dxa"/>
              <w:right w:w="0" w:type="dxa"/>
            </w:tcMar>
          </w:tcPr>
          <w:p w14:paraId="5216E003" w14:textId="77777777" w:rsidR="00220327" w:rsidRDefault="00B51942">
            <w:pPr>
              <w:spacing w:before="240" w:after="240"/>
              <w:ind w:left="120" w:right="120"/>
              <w:jc w:val="center"/>
              <w:rPr>
                <w:b/>
                <w:sz w:val="18"/>
                <w:szCs w:val="18"/>
              </w:rPr>
            </w:pPr>
            <w:r>
              <w:rPr>
                <w:b/>
                <w:sz w:val="18"/>
                <w:szCs w:val="18"/>
              </w:rPr>
              <w:t>NAs</w:t>
            </w:r>
          </w:p>
        </w:tc>
      </w:tr>
      <w:tr w:rsidR="00220327" w14:paraId="359CC12F" w14:textId="77777777">
        <w:trPr>
          <w:trHeight w:val="420"/>
        </w:trPr>
        <w:tc>
          <w:tcPr>
            <w:tcW w:w="90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5EABC341" w14:textId="77777777" w:rsidR="00220327" w:rsidRDefault="00B51942">
            <w:pPr>
              <w:spacing w:before="240" w:after="240"/>
              <w:ind w:left="120" w:right="120"/>
              <w:rPr>
                <w:b/>
                <w:sz w:val="18"/>
                <w:szCs w:val="18"/>
              </w:rPr>
            </w:pPr>
            <w:r>
              <w:rPr>
                <w:b/>
                <w:sz w:val="18"/>
                <w:szCs w:val="18"/>
              </w:rPr>
              <w:t>lasso</w:t>
            </w:r>
          </w:p>
        </w:tc>
        <w:tc>
          <w:tcPr>
            <w:tcW w:w="105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7E6E7724" w14:textId="77777777" w:rsidR="00220327" w:rsidRDefault="00B51942">
            <w:pPr>
              <w:spacing w:before="240" w:after="240"/>
              <w:jc w:val="center"/>
              <w:rPr>
                <w:sz w:val="18"/>
                <w:szCs w:val="18"/>
              </w:rPr>
            </w:pPr>
            <w:r>
              <w:rPr>
                <w:sz w:val="18"/>
                <w:szCs w:val="18"/>
              </w:rPr>
              <w:t>13.05144</w:t>
            </w:r>
          </w:p>
        </w:tc>
        <w:tc>
          <w:tcPr>
            <w:tcW w:w="115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6EDD9ACF" w14:textId="77777777" w:rsidR="00220327" w:rsidRDefault="00B51942">
            <w:pPr>
              <w:spacing w:before="240" w:after="240"/>
              <w:jc w:val="center"/>
              <w:rPr>
                <w:sz w:val="18"/>
                <w:szCs w:val="18"/>
              </w:rPr>
            </w:pPr>
            <w:r>
              <w:rPr>
                <w:sz w:val="18"/>
                <w:szCs w:val="18"/>
              </w:rPr>
              <w:t>13.84467</w:t>
            </w:r>
          </w:p>
        </w:tc>
        <w:tc>
          <w:tcPr>
            <w:tcW w:w="118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4688E56B" w14:textId="77777777" w:rsidR="00220327" w:rsidRDefault="00B51942">
            <w:pPr>
              <w:spacing w:before="240" w:after="240"/>
              <w:jc w:val="center"/>
              <w:rPr>
                <w:sz w:val="18"/>
                <w:szCs w:val="18"/>
              </w:rPr>
            </w:pPr>
            <w:r>
              <w:rPr>
                <w:sz w:val="18"/>
                <w:szCs w:val="18"/>
              </w:rPr>
              <w:t>14.04593</w:t>
            </w:r>
          </w:p>
        </w:tc>
        <w:tc>
          <w:tcPr>
            <w:tcW w:w="117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0CD61B35" w14:textId="77777777" w:rsidR="00220327" w:rsidRDefault="00B51942">
            <w:pPr>
              <w:spacing w:before="240" w:after="240"/>
              <w:jc w:val="center"/>
              <w:rPr>
                <w:sz w:val="18"/>
                <w:szCs w:val="18"/>
              </w:rPr>
            </w:pPr>
            <w:r>
              <w:rPr>
                <w:sz w:val="18"/>
                <w:szCs w:val="18"/>
              </w:rPr>
              <w:t>14.04704</w:t>
            </w:r>
          </w:p>
        </w:tc>
        <w:tc>
          <w:tcPr>
            <w:tcW w:w="123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0CDE71DC" w14:textId="77777777" w:rsidR="00220327" w:rsidRDefault="00B51942">
            <w:pPr>
              <w:spacing w:before="240" w:after="240"/>
              <w:jc w:val="center"/>
              <w:rPr>
                <w:sz w:val="18"/>
                <w:szCs w:val="18"/>
              </w:rPr>
            </w:pPr>
            <w:r>
              <w:rPr>
                <w:sz w:val="18"/>
                <w:szCs w:val="18"/>
              </w:rPr>
              <w:t>14.25769</w:t>
            </w:r>
          </w:p>
        </w:tc>
        <w:tc>
          <w:tcPr>
            <w:tcW w:w="109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4CC2C1D7" w14:textId="77777777" w:rsidR="00220327" w:rsidRDefault="00B51942">
            <w:pPr>
              <w:spacing w:before="240" w:after="240"/>
              <w:ind w:right="120"/>
              <w:jc w:val="center"/>
              <w:rPr>
                <w:sz w:val="18"/>
                <w:szCs w:val="18"/>
              </w:rPr>
            </w:pPr>
            <w:r>
              <w:rPr>
                <w:sz w:val="18"/>
                <w:szCs w:val="18"/>
              </w:rPr>
              <w:t xml:space="preserve">15.06964 </w:t>
            </w:r>
          </w:p>
        </w:tc>
        <w:tc>
          <w:tcPr>
            <w:tcW w:w="795" w:type="dxa"/>
            <w:tcBorders>
              <w:top w:val="nil"/>
              <w:left w:val="nil"/>
              <w:bottom w:val="single" w:sz="8" w:space="0" w:color="666666"/>
              <w:right w:val="nil"/>
            </w:tcBorders>
            <w:shd w:val="clear" w:color="auto" w:fill="EFEFEF"/>
            <w:tcMar>
              <w:top w:w="0" w:type="dxa"/>
              <w:left w:w="0" w:type="dxa"/>
              <w:bottom w:w="0" w:type="dxa"/>
              <w:right w:w="0" w:type="dxa"/>
            </w:tcMar>
            <w:vAlign w:val="center"/>
          </w:tcPr>
          <w:p w14:paraId="6693226E" w14:textId="77777777" w:rsidR="00220327" w:rsidRDefault="00B51942">
            <w:pPr>
              <w:spacing w:before="240" w:after="240"/>
              <w:ind w:left="120" w:right="120"/>
              <w:jc w:val="center"/>
              <w:rPr>
                <w:sz w:val="18"/>
                <w:szCs w:val="18"/>
              </w:rPr>
            </w:pPr>
            <w:r>
              <w:rPr>
                <w:sz w:val="18"/>
                <w:szCs w:val="18"/>
              </w:rPr>
              <w:t>0</w:t>
            </w:r>
          </w:p>
        </w:tc>
      </w:tr>
      <w:tr w:rsidR="00220327" w14:paraId="6FC23211" w14:textId="77777777">
        <w:trPr>
          <w:trHeight w:val="420"/>
        </w:trPr>
        <w:tc>
          <w:tcPr>
            <w:tcW w:w="900" w:type="dxa"/>
            <w:tcBorders>
              <w:top w:val="nil"/>
              <w:left w:val="nil"/>
              <w:bottom w:val="single" w:sz="8" w:space="0" w:color="666666"/>
              <w:right w:val="single" w:sz="8" w:space="0" w:color="666666"/>
            </w:tcBorders>
            <w:tcMar>
              <w:top w:w="0" w:type="dxa"/>
              <w:left w:w="0" w:type="dxa"/>
              <w:bottom w:w="0" w:type="dxa"/>
              <w:right w:w="0" w:type="dxa"/>
            </w:tcMar>
            <w:vAlign w:val="center"/>
          </w:tcPr>
          <w:p w14:paraId="59ABFF24" w14:textId="77777777" w:rsidR="00220327" w:rsidRDefault="00B51942">
            <w:pPr>
              <w:spacing w:before="240" w:after="240"/>
              <w:ind w:left="120" w:right="120"/>
              <w:rPr>
                <w:b/>
                <w:sz w:val="18"/>
                <w:szCs w:val="18"/>
              </w:rPr>
            </w:pPr>
            <w:r>
              <w:rPr>
                <w:b/>
                <w:sz w:val="18"/>
                <w:szCs w:val="18"/>
              </w:rPr>
              <w:t>ridge</w:t>
            </w:r>
          </w:p>
        </w:tc>
        <w:tc>
          <w:tcPr>
            <w:tcW w:w="1050" w:type="dxa"/>
            <w:tcBorders>
              <w:top w:val="nil"/>
              <w:left w:val="nil"/>
              <w:bottom w:val="single" w:sz="8" w:space="0" w:color="666666"/>
              <w:right w:val="single" w:sz="8" w:space="0" w:color="666666"/>
            </w:tcBorders>
            <w:tcMar>
              <w:top w:w="0" w:type="dxa"/>
              <w:left w:w="0" w:type="dxa"/>
              <w:bottom w:w="0" w:type="dxa"/>
              <w:right w:w="0" w:type="dxa"/>
            </w:tcMar>
            <w:vAlign w:val="center"/>
          </w:tcPr>
          <w:p w14:paraId="3667E477" w14:textId="77777777" w:rsidR="00220327" w:rsidRDefault="00B51942">
            <w:pPr>
              <w:spacing w:before="240" w:after="240"/>
              <w:jc w:val="center"/>
              <w:rPr>
                <w:sz w:val="18"/>
                <w:szCs w:val="18"/>
              </w:rPr>
            </w:pPr>
            <w:r>
              <w:rPr>
                <w:sz w:val="18"/>
                <w:szCs w:val="18"/>
              </w:rPr>
              <w:t>13.09662</w:t>
            </w:r>
          </w:p>
        </w:tc>
        <w:tc>
          <w:tcPr>
            <w:tcW w:w="1155" w:type="dxa"/>
            <w:tcBorders>
              <w:top w:val="nil"/>
              <w:left w:val="nil"/>
              <w:bottom w:val="single" w:sz="8" w:space="0" w:color="666666"/>
              <w:right w:val="single" w:sz="8" w:space="0" w:color="666666"/>
            </w:tcBorders>
            <w:tcMar>
              <w:top w:w="0" w:type="dxa"/>
              <w:left w:w="0" w:type="dxa"/>
              <w:bottom w:w="0" w:type="dxa"/>
              <w:right w:w="0" w:type="dxa"/>
            </w:tcMar>
            <w:vAlign w:val="center"/>
          </w:tcPr>
          <w:p w14:paraId="4AB481A5" w14:textId="77777777" w:rsidR="00220327" w:rsidRDefault="00B51942">
            <w:pPr>
              <w:spacing w:before="240" w:after="240"/>
              <w:jc w:val="center"/>
              <w:rPr>
                <w:sz w:val="18"/>
                <w:szCs w:val="18"/>
              </w:rPr>
            </w:pPr>
            <w:r>
              <w:rPr>
                <w:sz w:val="18"/>
                <w:szCs w:val="18"/>
              </w:rPr>
              <w:t>13.99516</w:t>
            </w:r>
          </w:p>
        </w:tc>
        <w:tc>
          <w:tcPr>
            <w:tcW w:w="1185" w:type="dxa"/>
            <w:tcBorders>
              <w:top w:val="nil"/>
              <w:left w:val="nil"/>
              <w:bottom w:val="single" w:sz="8" w:space="0" w:color="666666"/>
              <w:right w:val="single" w:sz="8" w:space="0" w:color="666666"/>
            </w:tcBorders>
            <w:tcMar>
              <w:top w:w="0" w:type="dxa"/>
              <w:left w:w="0" w:type="dxa"/>
              <w:bottom w:w="0" w:type="dxa"/>
              <w:right w:w="0" w:type="dxa"/>
            </w:tcMar>
            <w:vAlign w:val="center"/>
          </w:tcPr>
          <w:p w14:paraId="09DE7DAC" w14:textId="77777777" w:rsidR="00220327" w:rsidRDefault="00B51942">
            <w:pPr>
              <w:spacing w:before="240" w:after="240"/>
              <w:jc w:val="center"/>
              <w:rPr>
                <w:sz w:val="18"/>
                <w:szCs w:val="18"/>
              </w:rPr>
            </w:pPr>
            <w:r>
              <w:rPr>
                <w:sz w:val="18"/>
                <w:szCs w:val="18"/>
              </w:rPr>
              <w:t>14.20427</w:t>
            </w:r>
          </w:p>
        </w:tc>
        <w:tc>
          <w:tcPr>
            <w:tcW w:w="1170" w:type="dxa"/>
            <w:tcBorders>
              <w:top w:val="nil"/>
              <w:left w:val="nil"/>
              <w:bottom w:val="single" w:sz="8" w:space="0" w:color="666666"/>
              <w:right w:val="single" w:sz="8" w:space="0" w:color="666666"/>
            </w:tcBorders>
            <w:tcMar>
              <w:top w:w="0" w:type="dxa"/>
              <w:left w:w="0" w:type="dxa"/>
              <w:bottom w:w="0" w:type="dxa"/>
              <w:right w:w="0" w:type="dxa"/>
            </w:tcMar>
            <w:vAlign w:val="center"/>
          </w:tcPr>
          <w:p w14:paraId="3787E416" w14:textId="77777777" w:rsidR="00220327" w:rsidRDefault="00B51942">
            <w:pPr>
              <w:spacing w:before="240" w:after="240"/>
              <w:jc w:val="center"/>
              <w:rPr>
                <w:sz w:val="18"/>
                <w:szCs w:val="18"/>
              </w:rPr>
            </w:pPr>
            <w:r>
              <w:rPr>
                <w:sz w:val="18"/>
                <w:szCs w:val="18"/>
              </w:rPr>
              <w:t>14.19776</w:t>
            </w:r>
          </w:p>
        </w:tc>
        <w:tc>
          <w:tcPr>
            <w:tcW w:w="1230" w:type="dxa"/>
            <w:tcBorders>
              <w:top w:val="nil"/>
              <w:left w:val="nil"/>
              <w:bottom w:val="single" w:sz="8" w:space="0" w:color="666666"/>
              <w:right w:val="single" w:sz="8" w:space="0" w:color="666666"/>
            </w:tcBorders>
            <w:tcMar>
              <w:top w:w="0" w:type="dxa"/>
              <w:left w:w="0" w:type="dxa"/>
              <w:bottom w:w="0" w:type="dxa"/>
              <w:right w:w="0" w:type="dxa"/>
            </w:tcMar>
            <w:vAlign w:val="center"/>
          </w:tcPr>
          <w:p w14:paraId="7345E719" w14:textId="77777777" w:rsidR="00220327" w:rsidRDefault="00B51942">
            <w:pPr>
              <w:spacing w:before="240" w:after="240"/>
              <w:jc w:val="center"/>
              <w:rPr>
                <w:sz w:val="18"/>
                <w:szCs w:val="18"/>
              </w:rPr>
            </w:pPr>
            <w:r>
              <w:rPr>
                <w:sz w:val="18"/>
                <w:szCs w:val="18"/>
              </w:rPr>
              <w:t>14.43697</w:t>
            </w:r>
          </w:p>
        </w:tc>
        <w:tc>
          <w:tcPr>
            <w:tcW w:w="1095" w:type="dxa"/>
            <w:tcBorders>
              <w:top w:val="nil"/>
              <w:left w:val="nil"/>
              <w:bottom w:val="single" w:sz="8" w:space="0" w:color="666666"/>
              <w:right w:val="single" w:sz="8" w:space="0" w:color="666666"/>
            </w:tcBorders>
            <w:tcMar>
              <w:top w:w="0" w:type="dxa"/>
              <w:left w:w="0" w:type="dxa"/>
              <w:bottom w:w="0" w:type="dxa"/>
              <w:right w:w="0" w:type="dxa"/>
            </w:tcMar>
            <w:vAlign w:val="center"/>
          </w:tcPr>
          <w:p w14:paraId="5BBF9261" w14:textId="77777777" w:rsidR="00220327" w:rsidRDefault="00B51942">
            <w:pPr>
              <w:spacing w:before="240" w:after="240"/>
              <w:jc w:val="center"/>
              <w:rPr>
                <w:sz w:val="18"/>
                <w:szCs w:val="18"/>
              </w:rPr>
            </w:pPr>
            <w:r>
              <w:rPr>
                <w:sz w:val="18"/>
                <w:szCs w:val="18"/>
              </w:rPr>
              <w:t xml:space="preserve">15.23037 </w:t>
            </w:r>
          </w:p>
        </w:tc>
        <w:tc>
          <w:tcPr>
            <w:tcW w:w="795" w:type="dxa"/>
            <w:tcBorders>
              <w:top w:val="nil"/>
              <w:left w:val="nil"/>
              <w:bottom w:val="single" w:sz="8" w:space="0" w:color="666666"/>
              <w:right w:val="nil"/>
            </w:tcBorders>
            <w:tcMar>
              <w:top w:w="0" w:type="dxa"/>
              <w:left w:w="0" w:type="dxa"/>
              <w:bottom w:w="0" w:type="dxa"/>
              <w:right w:w="0" w:type="dxa"/>
            </w:tcMar>
            <w:vAlign w:val="center"/>
          </w:tcPr>
          <w:p w14:paraId="5F5F8D72" w14:textId="77777777" w:rsidR="00220327" w:rsidRDefault="00B51942">
            <w:pPr>
              <w:spacing w:before="240" w:after="240"/>
              <w:ind w:left="120" w:right="120"/>
              <w:jc w:val="center"/>
              <w:rPr>
                <w:sz w:val="18"/>
                <w:szCs w:val="18"/>
              </w:rPr>
            </w:pPr>
            <w:r>
              <w:rPr>
                <w:sz w:val="18"/>
                <w:szCs w:val="18"/>
              </w:rPr>
              <w:t>0</w:t>
            </w:r>
          </w:p>
        </w:tc>
      </w:tr>
      <w:tr w:rsidR="00220327" w14:paraId="10E6E39F" w14:textId="77777777">
        <w:trPr>
          <w:trHeight w:val="420"/>
        </w:trPr>
        <w:tc>
          <w:tcPr>
            <w:tcW w:w="90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0807A659" w14:textId="77777777" w:rsidR="00220327" w:rsidRDefault="00B51942">
            <w:pPr>
              <w:spacing w:before="240" w:after="240"/>
              <w:ind w:left="120" w:right="120"/>
              <w:rPr>
                <w:b/>
                <w:sz w:val="18"/>
                <w:szCs w:val="18"/>
              </w:rPr>
            </w:pPr>
            <w:r>
              <w:rPr>
                <w:b/>
                <w:sz w:val="18"/>
                <w:szCs w:val="18"/>
              </w:rPr>
              <w:t>earth</w:t>
            </w:r>
          </w:p>
        </w:tc>
        <w:tc>
          <w:tcPr>
            <w:tcW w:w="105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288554AA" w14:textId="77777777" w:rsidR="00220327" w:rsidRDefault="00B51942">
            <w:pPr>
              <w:spacing w:before="240" w:after="240"/>
              <w:jc w:val="center"/>
              <w:rPr>
                <w:sz w:val="18"/>
                <w:szCs w:val="18"/>
              </w:rPr>
            </w:pPr>
            <w:r>
              <w:rPr>
                <w:sz w:val="18"/>
                <w:szCs w:val="18"/>
              </w:rPr>
              <w:t>13.31093</w:t>
            </w:r>
          </w:p>
        </w:tc>
        <w:tc>
          <w:tcPr>
            <w:tcW w:w="115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1E0DB74E" w14:textId="77777777" w:rsidR="00220327" w:rsidRDefault="00B51942">
            <w:pPr>
              <w:spacing w:before="240" w:after="240"/>
              <w:jc w:val="center"/>
              <w:rPr>
                <w:sz w:val="18"/>
                <w:szCs w:val="18"/>
              </w:rPr>
            </w:pPr>
            <w:r>
              <w:rPr>
                <w:sz w:val="18"/>
                <w:szCs w:val="18"/>
              </w:rPr>
              <w:t>14.01549</w:t>
            </w:r>
          </w:p>
        </w:tc>
        <w:tc>
          <w:tcPr>
            <w:tcW w:w="118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0F3DF1FF" w14:textId="77777777" w:rsidR="00220327" w:rsidRDefault="00B51942">
            <w:pPr>
              <w:spacing w:before="240" w:after="240"/>
              <w:jc w:val="center"/>
              <w:rPr>
                <w:sz w:val="18"/>
                <w:szCs w:val="18"/>
              </w:rPr>
            </w:pPr>
            <w:r>
              <w:rPr>
                <w:sz w:val="18"/>
                <w:szCs w:val="18"/>
              </w:rPr>
              <w:t>14.20062</w:t>
            </w:r>
          </w:p>
        </w:tc>
        <w:tc>
          <w:tcPr>
            <w:tcW w:w="117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56798220" w14:textId="77777777" w:rsidR="00220327" w:rsidRDefault="00B51942">
            <w:pPr>
              <w:spacing w:before="240" w:after="240"/>
              <w:jc w:val="center"/>
              <w:rPr>
                <w:sz w:val="18"/>
                <w:szCs w:val="18"/>
              </w:rPr>
            </w:pPr>
            <w:r>
              <w:rPr>
                <w:sz w:val="18"/>
                <w:szCs w:val="18"/>
              </w:rPr>
              <w:t>14.22600</w:t>
            </w:r>
          </w:p>
        </w:tc>
        <w:tc>
          <w:tcPr>
            <w:tcW w:w="123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0E81F233" w14:textId="77777777" w:rsidR="00220327" w:rsidRDefault="00B51942">
            <w:pPr>
              <w:spacing w:before="240" w:after="240"/>
              <w:jc w:val="center"/>
              <w:rPr>
                <w:sz w:val="18"/>
                <w:szCs w:val="18"/>
              </w:rPr>
            </w:pPr>
            <w:r>
              <w:rPr>
                <w:sz w:val="18"/>
                <w:szCs w:val="18"/>
              </w:rPr>
              <w:t>14.47839</w:t>
            </w:r>
          </w:p>
        </w:tc>
        <w:tc>
          <w:tcPr>
            <w:tcW w:w="109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2A354993" w14:textId="77777777" w:rsidR="00220327" w:rsidRDefault="00B51942">
            <w:pPr>
              <w:spacing w:before="240" w:after="240"/>
              <w:jc w:val="center"/>
              <w:rPr>
                <w:sz w:val="18"/>
                <w:szCs w:val="18"/>
              </w:rPr>
            </w:pPr>
            <w:r>
              <w:rPr>
                <w:sz w:val="18"/>
                <w:szCs w:val="18"/>
              </w:rPr>
              <w:t>15.01988</w:t>
            </w:r>
          </w:p>
        </w:tc>
        <w:tc>
          <w:tcPr>
            <w:tcW w:w="795" w:type="dxa"/>
            <w:tcBorders>
              <w:top w:val="nil"/>
              <w:left w:val="nil"/>
              <w:bottom w:val="single" w:sz="8" w:space="0" w:color="666666"/>
              <w:right w:val="nil"/>
            </w:tcBorders>
            <w:shd w:val="clear" w:color="auto" w:fill="EFEFEF"/>
            <w:tcMar>
              <w:top w:w="0" w:type="dxa"/>
              <w:left w:w="0" w:type="dxa"/>
              <w:bottom w:w="0" w:type="dxa"/>
              <w:right w:w="0" w:type="dxa"/>
            </w:tcMar>
            <w:vAlign w:val="center"/>
          </w:tcPr>
          <w:p w14:paraId="595444F9" w14:textId="77777777" w:rsidR="00220327" w:rsidRDefault="00B51942">
            <w:pPr>
              <w:spacing w:before="240" w:after="240"/>
              <w:ind w:left="120" w:right="120"/>
              <w:jc w:val="center"/>
              <w:rPr>
                <w:sz w:val="18"/>
                <w:szCs w:val="18"/>
              </w:rPr>
            </w:pPr>
            <w:r>
              <w:rPr>
                <w:sz w:val="18"/>
                <w:szCs w:val="18"/>
              </w:rPr>
              <w:t>0</w:t>
            </w:r>
          </w:p>
        </w:tc>
      </w:tr>
      <w:tr w:rsidR="00220327" w14:paraId="6F75F871" w14:textId="77777777">
        <w:trPr>
          <w:trHeight w:val="420"/>
        </w:trPr>
        <w:tc>
          <w:tcPr>
            <w:tcW w:w="900" w:type="dxa"/>
            <w:tcBorders>
              <w:top w:val="nil"/>
              <w:left w:val="nil"/>
              <w:bottom w:val="single" w:sz="8" w:space="0" w:color="666666"/>
              <w:right w:val="single" w:sz="8" w:space="0" w:color="666666"/>
            </w:tcBorders>
            <w:tcMar>
              <w:top w:w="0" w:type="dxa"/>
              <w:left w:w="0" w:type="dxa"/>
              <w:bottom w:w="0" w:type="dxa"/>
              <w:right w:w="0" w:type="dxa"/>
            </w:tcMar>
            <w:vAlign w:val="center"/>
          </w:tcPr>
          <w:p w14:paraId="04B6F21A" w14:textId="77777777" w:rsidR="00220327" w:rsidRDefault="00B51942">
            <w:pPr>
              <w:spacing w:before="240" w:after="240"/>
              <w:ind w:left="120" w:right="120"/>
              <w:rPr>
                <w:b/>
                <w:sz w:val="18"/>
                <w:szCs w:val="18"/>
              </w:rPr>
            </w:pPr>
            <w:r>
              <w:rPr>
                <w:b/>
                <w:sz w:val="18"/>
                <w:szCs w:val="18"/>
              </w:rPr>
              <w:t>pls</w:t>
            </w:r>
          </w:p>
        </w:tc>
        <w:tc>
          <w:tcPr>
            <w:tcW w:w="1050" w:type="dxa"/>
            <w:tcBorders>
              <w:top w:val="nil"/>
              <w:left w:val="nil"/>
              <w:bottom w:val="single" w:sz="8" w:space="0" w:color="666666"/>
              <w:right w:val="single" w:sz="8" w:space="0" w:color="666666"/>
            </w:tcBorders>
            <w:tcMar>
              <w:top w:w="0" w:type="dxa"/>
              <w:left w:w="0" w:type="dxa"/>
              <w:bottom w:w="0" w:type="dxa"/>
              <w:right w:w="0" w:type="dxa"/>
            </w:tcMar>
            <w:vAlign w:val="center"/>
          </w:tcPr>
          <w:p w14:paraId="797290C8" w14:textId="77777777" w:rsidR="00220327" w:rsidRDefault="00B51942">
            <w:pPr>
              <w:spacing w:before="240" w:after="240"/>
              <w:jc w:val="center"/>
              <w:rPr>
                <w:sz w:val="18"/>
                <w:szCs w:val="18"/>
              </w:rPr>
            </w:pPr>
            <w:r>
              <w:rPr>
                <w:sz w:val="18"/>
                <w:szCs w:val="18"/>
              </w:rPr>
              <w:t>13.21159</w:t>
            </w:r>
          </w:p>
        </w:tc>
        <w:tc>
          <w:tcPr>
            <w:tcW w:w="1155" w:type="dxa"/>
            <w:tcBorders>
              <w:top w:val="nil"/>
              <w:left w:val="nil"/>
              <w:bottom w:val="single" w:sz="8" w:space="0" w:color="666666"/>
              <w:right w:val="single" w:sz="8" w:space="0" w:color="666666"/>
            </w:tcBorders>
            <w:tcMar>
              <w:top w:w="0" w:type="dxa"/>
              <w:left w:w="0" w:type="dxa"/>
              <w:bottom w:w="0" w:type="dxa"/>
              <w:right w:w="0" w:type="dxa"/>
            </w:tcMar>
            <w:vAlign w:val="center"/>
          </w:tcPr>
          <w:p w14:paraId="3B29317B" w14:textId="77777777" w:rsidR="00220327" w:rsidRDefault="00B51942">
            <w:pPr>
              <w:spacing w:before="240" w:after="240"/>
              <w:jc w:val="center"/>
              <w:rPr>
                <w:sz w:val="18"/>
                <w:szCs w:val="18"/>
              </w:rPr>
            </w:pPr>
            <w:r>
              <w:rPr>
                <w:sz w:val="18"/>
                <w:szCs w:val="18"/>
              </w:rPr>
              <w:t>13.85927</w:t>
            </w:r>
          </w:p>
        </w:tc>
        <w:tc>
          <w:tcPr>
            <w:tcW w:w="1185" w:type="dxa"/>
            <w:tcBorders>
              <w:top w:val="nil"/>
              <w:left w:val="nil"/>
              <w:bottom w:val="single" w:sz="8" w:space="0" w:color="666666"/>
              <w:right w:val="single" w:sz="8" w:space="0" w:color="666666"/>
            </w:tcBorders>
            <w:tcMar>
              <w:top w:w="0" w:type="dxa"/>
              <w:left w:w="0" w:type="dxa"/>
              <w:bottom w:w="0" w:type="dxa"/>
              <w:right w:w="0" w:type="dxa"/>
            </w:tcMar>
            <w:vAlign w:val="center"/>
          </w:tcPr>
          <w:p w14:paraId="365C1A05" w14:textId="77777777" w:rsidR="00220327" w:rsidRDefault="00B51942">
            <w:pPr>
              <w:spacing w:before="240" w:after="240"/>
              <w:jc w:val="center"/>
              <w:rPr>
                <w:sz w:val="18"/>
                <w:szCs w:val="18"/>
              </w:rPr>
            </w:pPr>
            <w:r>
              <w:rPr>
                <w:sz w:val="18"/>
                <w:szCs w:val="18"/>
              </w:rPr>
              <w:t>14.15223</w:t>
            </w:r>
          </w:p>
        </w:tc>
        <w:tc>
          <w:tcPr>
            <w:tcW w:w="1170" w:type="dxa"/>
            <w:tcBorders>
              <w:top w:val="nil"/>
              <w:left w:val="nil"/>
              <w:bottom w:val="single" w:sz="8" w:space="0" w:color="666666"/>
              <w:right w:val="single" w:sz="8" w:space="0" w:color="666666"/>
            </w:tcBorders>
            <w:tcMar>
              <w:top w:w="0" w:type="dxa"/>
              <w:left w:w="0" w:type="dxa"/>
              <w:bottom w:w="0" w:type="dxa"/>
              <w:right w:w="0" w:type="dxa"/>
            </w:tcMar>
            <w:vAlign w:val="center"/>
          </w:tcPr>
          <w:p w14:paraId="065EFF99" w14:textId="77777777" w:rsidR="00220327" w:rsidRDefault="00B51942">
            <w:pPr>
              <w:spacing w:before="240" w:after="240"/>
              <w:jc w:val="center"/>
              <w:rPr>
                <w:sz w:val="18"/>
                <w:szCs w:val="18"/>
              </w:rPr>
            </w:pPr>
            <w:r>
              <w:rPr>
                <w:sz w:val="18"/>
                <w:szCs w:val="18"/>
              </w:rPr>
              <w:t>14.10453</w:t>
            </w:r>
          </w:p>
        </w:tc>
        <w:tc>
          <w:tcPr>
            <w:tcW w:w="1230" w:type="dxa"/>
            <w:tcBorders>
              <w:top w:val="nil"/>
              <w:left w:val="nil"/>
              <w:bottom w:val="single" w:sz="8" w:space="0" w:color="666666"/>
              <w:right w:val="single" w:sz="8" w:space="0" w:color="666666"/>
            </w:tcBorders>
            <w:tcMar>
              <w:top w:w="0" w:type="dxa"/>
              <w:left w:w="0" w:type="dxa"/>
              <w:bottom w:w="0" w:type="dxa"/>
              <w:right w:w="0" w:type="dxa"/>
            </w:tcMar>
            <w:vAlign w:val="center"/>
          </w:tcPr>
          <w:p w14:paraId="05803287" w14:textId="77777777" w:rsidR="00220327" w:rsidRDefault="00B51942">
            <w:pPr>
              <w:spacing w:before="240" w:after="240"/>
              <w:jc w:val="center"/>
              <w:rPr>
                <w:sz w:val="18"/>
                <w:szCs w:val="18"/>
              </w:rPr>
            </w:pPr>
            <w:r>
              <w:rPr>
                <w:sz w:val="18"/>
                <w:szCs w:val="18"/>
              </w:rPr>
              <w:t>14.34602</w:t>
            </w:r>
          </w:p>
        </w:tc>
        <w:tc>
          <w:tcPr>
            <w:tcW w:w="1095" w:type="dxa"/>
            <w:tcBorders>
              <w:top w:val="nil"/>
              <w:left w:val="nil"/>
              <w:bottom w:val="single" w:sz="8" w:space="0" w:color="666666"/>
              <w:right w:val="single" w:sz="8" w:space="0" w:color="666666"/>
            </w:tcBorders>
            <w:tcMar>
              <w:top w:w="0" w:type="dxa"/>
              <w:left w:w="0" w:type="dxa"/>
              <w:bottom w:w="0" w:type="dxa"/>
              <w:right w:w="0" w:type="dxa"/>
            </w:tcMar>
            <w:vAlign w:val="center"/>
          </w:tcPr>
          <w:p w14:paraId="221F2363" w14:textId="77777777" w:rsidR="00220327" w:rsidRDefault="00B51942">
            <w:pPr>
              <w:spacing w:before="240" w:after="240"/>
              <w:jc w:val="center"/>
              <w:rPr>
                <w:sz w:val="18"/>
                <w:szCs w:val="18"/>
              </w:rPr>
            </w:pPr>
            <w:r>
              <w:rPr>
                <w:sz w:val="18"/>
                <w:szCs w:val="18"/>
              </w:rPr>
              <w:t>15.12871</w:t>
            </w:r>
          </w:p>
        </w:tc>
        <w:tc>
          <w:tcPr>
            <w:tcW w:w="795" w:type="dxa"/>
            <w:tcBorders>
              <w:top w:val="nil"/>
              <w:left w:val="nil"/>
              <w:bottom w:val="single" w:sz="8" w:space="0" w:color="666666"/>
              <w:right w:val="nil"/>
            </w:tcBorders>
            <w:tcMar>
              <w:top w:w="0" w:type="dxa"/>
              <w:left w:w="0" w:type="dxa"/>
              <w:bottom w:w="0" w:type="dxa"/>
              <w:right w:w="0" w:type="dxa"/>
            </w:tcMar>
            <w:vAlign w:val="center"/>
          </w:tcPr>
          <w:p w14:paraId="1F9D453D" w14:textId="77777777" w:rsidR="00220327" w:rsidRDefault="00B51942">
            <w:pPr>
              <w:spacing w:before="240" w:after="240"/>
              <w:ind w:left="120" w:right="120"/>
              <w:jc w:val="center"/>
              <w:rPr>
                <w:sz w:val="18"/>
                <w:szCs w:val="18"/>
              </w:rPr>
            </w:pPr>
            <w:r>
              <w:rPr>
                <w:sz w:val="18"/>
                <w:szCs w:val="18"/>
              </w:rPr>
              <w:t>0</w:t>
            </w:r>
          </w:p>
        </w:tc>
      </w:tr>
    </w:tbl>
    <w:p w14:paraId="1BC90B9A" w14:textId="77777777" w:rsidR="00220327" w:rsidRDefault="00220327">
      <w:pPr>
        <w:spacing w:before="240" w:after="240"/>
      </w:pPr>
    </w:p>
    <w:p w14:paraId="0ACED2DD" w14:textId="77777777" w:rsidR="00220327" w:rsidRDefault="00B51942">
      <w:pPr>
        <w:spacing w:before="240" w:after="240"/>
        <w:ind w:firstLine="720"/>
      </w:pPr>
      <w:r>
        <w:lastRenderedPageBreak/>
        <w:t>We created a stacked model here as well, and chose it for our final total points predictions as it will be the most conservative. When we previously instituted a simple train and test split, it performed the best. As with our spread predictions, we will li</w:t>
      </w:r>
      <w:r>
        <w:t>st the variables used by the Earth model scaled from 0 to 100 by the reduction in cross validation error for predicting total points:</w:t>
      </w:r>
    </w:p>
    <w:p w14:paraId="3B7C1970" w14:textId="77777777" w:rsidR="00220327" w:rsidRDefault="00B51942">
      <w:pPr>
        <w:spacing w:before="240" w:after="240"/>
        <w:jc w:val="center"/>
      </w:pPr>
      <w:r>
        <w:rPr>
          <w:noProof/>
          <w:lang w:val="en-US"/>
        </w:rPr>
        <w:drawing>
          <wp:inline distT="114300" distB="114300" distL="114300" distR="114300" wp14:anchorId="0C90986A" wp14:editId="2233D661">
            <wp:extent cx="3062288" cy="181319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62288" cy="1813197"/>
                    </a:xfrm>
                    <a:prstGeom prst="rect">
                      <a:avLst/>
                    </a:prstGeom>
                    <a:ln/>
                  </pic:spPr>
                </pic:pic>
              </a:graphicData>
            </a:graphic>
          </wp:inline>
        </w:drawing>
      </w:r>
    </w:p>
    <w:p w14:paraId="22E8BD86" w14:textId="77777777" w:rsidR="00220327" w:rsidRDefault="00B51942">
      <w:pPr>
        <w:spacing w:before="240" w:after="240"/>
        <w:ind w:firstLine="720"/>
      </w:pPr>
      <w:r>
        <w:t>Points were more predictive overall than yards per attempt in the Earth model. Although one might think yards would play</w:t>
      </w:r>
      <w:r>
        <w:t xml:space="preserve"> a greater role in the total points, pace of play varies more so in college than in the NFL. Points can account for both the overall offensive and defensive strength of the team and the pace of play to some extent. Additionally, as in the case for the spre</w:t>
      </w:r>
      <w:r>
        <w:t>ad, we rounded the total points to common college football totals [5], and regressed our totals towards the vegas line for the first week. Common point totals were also determined by looking at the distribution of total scores in our dataset.  Based on com</w:t>
      </w:r>
      <w:r>
        <w:t>paring our totals to the vegas totals for week one, we tended to predict higher than the Bovada total, so we kept that in mind for future rounding.</w:t>
      </w:r>
    </w:p>
    <w:p w14:paraId="55BB7D5E" w14:textId="77777777" w:rsidR="00220327" w:rsidRDefault="00B51942">
      <w:pPr>
        <w:spacing w:before="240" w:after="240"/>
        <w:rPr>
          <w:b/>
          <w:sz w:val="48"/>
          <w:szCs w:val="48"/>
        </w:rPr>
      </w:pPr>
      <w:r>
        <w:rPr>
          <w:b/>
          <w:sz w:val="48"/>
          <w:szCs w:val="48"/>
        </w:rPr>
        <w:t>Methodology for Result</w:t>
      </w:r>
    </w:p>
    <w:p w14:paraId="14C56820" w14:textId="77777777" w:rsidR="00220327" w:rsidRDefault="00B51942">
      <w:pPr>
        <w:spacing w:before="240" w:after="240"/>
      </w:pPr>
      <w:r>
        <w:t xml:space="preserve">            For classifying the result, we trained a variety of models through 5-fold</w:t>
      </w:r>
      <w:r>
        <w:t xml:space="preserve"> cross validation on 1615 games (all after September), and generated our predictions based on the final model outputted by cross validation. Shrinking our training set to only games post September did decrease our accuracy in our folds (as it is inherently</w:t>
      </w:r>
      <w:r>
        <w:t xml:space="preserve"> easier to predict on FBS versus FCS matchups); however, we anticipate greater performance on our future games as many games early in the year are not conference games, which is what we will primarily be predicting on.</w:t>
      </w:r>
    </w:p>
    <w:p w14:paraId="74385975" w14:textId="77777777" w:rsidR="00220327" w:rsidRDefault="00B51942">
      <w:pPr>
        <w:spacing w:before="240" w:after="240"/>
        <w:ind w:firstLine="720"/>
      </w:pPr>
      <w:r>
        <w:t>We trained a variety of models, but h</w:t>
      </w:r>
      <w:r>
        <w:t>ave only included the four best. Some of the models we trained, but are not shown were single and multiple layer neural nets, simple logistic regression with and without interaction terms, qda, lda, and polynomial and linear support vector machines. The su</w:t>
      </w:r>
      <w:r>
        <w:t xml:space="preserve">pport vector machines predicted well, but they do not support predicting class probabilities, which we will need in order to generate stacked predictions. The best models were an averaged neural network (many networks trained over many random seeds; final </w:t>
      </w:r>
      <w:r>
        <w:t xml:space="preserve">prediction is average over all seeds), gradient boosted classification trees (gradient descent is used to prune the decision trees), L1 penalized logistic regression, and a Bayesian additive regression </w:t>
      </w:r>
      <w:r>
        <w:lastRenderedPageBreak/>
        <w:t>tree model (similar to the gradient boosting, but subs</w:t>
      </w:r>
      <w:r>
        <w:t>tituting a prior for the learning rate). All of them were trained through 5 fold cross validation. We did train these models using bootstrapping as that was superior for our other outcomes; however, in this scenario, cross validation performed better. Belo</w:t>
      </w:r>
      <w:r>
        <w:t>w is the table of out of sample accuracy rates for our best models over 5 folds:</w:t>
      </w:r>
    </w:p>
    <w:tbl>
      <w:tblPr>
        <w:tblStyle w:val="a1"/>
        <w:tblW w:w="8475"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325"/>
        <w:gridCol w:w="1015"/>
        <w:gridCol w:w="1065"/>
        <w:gridCol w:w="1095"/>
        <w:gridCol w:w="1065"/>
        <w:gridCol w:w="1080"/>
        <w:gridCol w:w="1125"/>
        <w:gridCol w:w="705"/>
      </w:tblGrid>
      <w:tr w:rsidR="00D70CFE" w14:paraId="1FD8D9C6" w14:textId="77777777" w:rsidTr="00D70CFE">
        <w:trPr>
          <w:trHeight w:val="420"/>
        </w:trPr>
        <w:tc>
          <w:tcPr>
            <w:tcW w:w="1325" w:type="dxa"/>
            <w:tcBorders>
              <w:top w:val="nil"/>
              <w:left w:val="nil"/>
              <w:bottom w:val="single" w:sz="12" w:space="0" w:color="666666"/>
              <w:right w:val="nil"/>
            </w:tcBorders>
            <w:shd w:val="clear" w:color="auto" w:fill="FFFFFF"/>
            <w:tcMar>
              <w:top w:w="0" w:type="dxa"/>
              <w:left w:w="0" w:type="dxa"/>
              <w:bottom w:w="0" w:type="dxa"/>
              <w:right w:w="0" w:type="dxa"/>
            </w:tcMar>
          </w:tcPr>
          <w:p w14:paraId="30CCC26F" w14:textId="77777777" w:rsidR="00220327" w:rsidRDefault="00B51942">
            <w:pPr>
              <w:spacing w:before="240" w:after="240"/>
              <w:ind w:left="120" w:right="120"/>
              <w:rPr>
                <w:b/>
                <w:sz w:val="16"/>
                <w:szCs w:val="16"/>
                <w:u w:val="single"/>
              </w:rPr>
            </w:pPr>
            <w:r>
              <w:rPr>
                <w:sz w:val="18"/>
                <w:szCs w:val="18"/>
              </w:rPr>
              <w:t xml:space="preserve"> </w:t>
            </w:r>
            <w:r>
              <w:rPr>
                <w:b/>
                <w:sz w:val="16"/>
                <w:szCs w:val="16"/>
                <w:u w:val="single"/>
              </w:rPr>
              <w:t>Accuracy</w:t>
            </w:r>
          </w:p>
        </w:tc>
        <w:tc>
          <w:tcPr>
            <w:tcW w:w="1015" w:type="dxa"/>
            <w:tcBorders>
              <w:top w:val="nil"/>
              <w:left w:val="nil"/>
              <w:bottom w:val="single" w:sz="12" w:space="0" w:color="666666"/>
              <w:right w:val="nil"/>
            </w:tcBorders>
            <w:shd w:val="clear" w:color="auto" w:fill="FFFFFF"/>
            <w:tcMar>
              <w:top w:w="0" w:type="dxa"/>
              <w:left w:w="0" w:type="dxa"/>
              <w:bottom w:w="0" w:type="dxa"/>
              <w:right w:w="0" w:type="dxa"/>
            </w:tcMar>
          </w:tcPr>
          <w:p w14:paraId="3A4BE993" w14:textId="77777777" w:rsidR="00220327" w:rsidRDefault="00B51942">
            <w:pPr>
              <w:spacing w:before="240" w:after="240"/>
              <w:ind w:left="120" w:right="120"/>
              <w:jc w:val="center"/>
              <w:rPr>
                <w:b/>
                <w:sz w:val="18"/>
                <w:szCs w:val="18"/>
              </w:rPr>
            </w:pPr>
            <w:r>
              <w:rPr>
                <w:b/>
                <w:sz w:val="18"/>
                <w:szCs w:val="18"/>
              </w:rPr>
              <w:t>Min</w:t>
            </w:r>
          </w:p>
        </w:tc>
        <w:tc>
          <w:tcPr>
            <w:tcW w:w="1065" w:type="dxa"/>
            <w:tcBorders>
              <w:top w:val="nil"/>
              <w:left w:val="nil"/>
              <w:bottom w:val="single" w:sz="12" w:space="0" w:color="666666"/>
              <w:right w:val="nil"/>
            </w:tcBorders>
            <w:shd w:val="clear" w:color="auto" w:fill="FFFFFF"/>
            <w:tcMar>
              <w:top w:w="0" w:type="dxa"/>
              <w:left w:w="0" w:type="dxa"/>
              <w:bottom w:w="0" w:type="dxa"/>
              <w:right w:w="0" w:type="dxa"/>
            </w:tcMar>
          </w:tcPr>
          <w:p w14:paraId="0D4C90A9" w14:textId="77777777" w:rsidR="00220327" w:rsidRDefault="00B51942">
            <w:pPr>
              <w:spacing w:before="240" w:after="240"/>
              <w:ind w:left="120" w:right="120"/>
              <w:jc w:val="center"/>
              <w:rPr>
                <w:b/>
                <w:sz w:val="18"/>
                <w:szCs w:val="18"/>
              </w:rPr>
            </w:pPr>
            <w:r>
              <w:rPr>
                <w:b/>
                <w:sz w:val="18"/>
                <w:szCs w:val="18"/>
              </w:rPr>
              <w:t>1</w:t>
            </w:r>
            <w:r>
              <w:rPr>
                <w:b/>
                <w:sz w:val="18"/>
                <w:szCs w:val="18"/>
                <w:vertAlign w:val="superscript"/>
              </w:rPr>
              <w:t>st</w:t>
            </w:r>
            <w:r>
              <w:rPr>
                <w:b/>
                <w:sz w:val="18"/>
                <w:szCs w:val="18"/>
              </w:rPr>
              <w:t xml:space="preserve"> Q</w:t>
            </w:r>
          </w:p>
        </w:tc>
        <w:tc>
          <w:tcPr>
            <w:tcW w:w="1095" w:type="dxa"/>
            <w:tcBorders>
              <w:top w:val="nil"/>
              <w:left w:val="nil"/>
              <w:bottom w:val="single" w:sz="12" w:space="0" w:color="666666"/>
              <w:right w:val="nil"/>
            </w:tcBorders>
            <w:shd w:val="clear" w:color="auto" w:fill="FFFFFF"/>
            <w:tcMar>
              <w:top w:w="0" w:type="dxa"/>
              <w:left w:w="0" w:type="dxa"/>
              <w:bottom w:w="0" w:type="dxa"/>
              <w:right w:w="0" w:type="dxa"/>
            </w:tcMar>
          </w:tcPr>
          <w:p w14:paraId="4D565838" w14:textId="77777777" w:rsidR="00220327" w:rsidRDefault="00B51942">
            <w:pPr>
              <w:spacing w:before="240" w:after="240"/>
              <w:ind w:left="120" w:right="120"/>
              <w:jc w:val="center"/>
              <w:rPr>
                <w:b/>
                <w:sz w:val="18"/>
                <w:szCs w:val="18"/>
              </w:rPr>
            </w:pPr>
            <w:r>
              <w:rPr>
                <w:b/>
                <w:sz w:val="18"/>
                <w:szCs w:val="18"/>
              </w:rPr>
              <w:t>Median</w:t>
            </w:r>
          </w:p>
        </w:tc>
        <w:tc>
          <w:tcPr>
            <w:tcW w:w="1065" w:type="dxa"/>
            <w:tcBorders>
              <w:top w:val="nil"/>
              <w:left w:val="nil"/>
              <w:bottom w:val="single" w:sz="12" w:space="0" w:color="666666"/>
              <w:right w:val="nil"/>
            </w:tcBorders>
            <w:shd w:val="clear" w:color="auto" w:fill="FFFFFF"/>
            <w:tcMar>
              <w:top w:w="0" w:type="dxa"/>
              <w:left w:w="0" w:type="dxa"/>
              <w:bottom w:w="0" w:type="dxa"/>
              <w:right w:w="0" w:type="dxa"/>
            </w:tcMar>
          </w:tcPr>
          <w:p w14:paraId="0483385C" w14:textId="77777777" w:rsidR="00220327" w:rsidRDefault="00B51942">
            <w:pPr>
              <w:spacing w:before="240" w:after="240"/>
              <w:ind w:left="120" w:right="120"/>
              <w:jc w:val="center"/>
              <w:rPr>
                <w:b/>
                <w:sz w:val="18"/>
                <w:szCs w:val="18"/>
              </w:rPr>
            </w:pPr>
            <w:r>
              <w:rPr>
                <w:b/>
                <w:sz w:val="18"/>
                <w:szCs w:val="18"/>
              </w:rPr>
              <w:t>Mean</w:t>
            </w:r>
          </w:p>
        </w:tc>
        <w:tc>
          <w:tcPr>
            <w:tcW w:w="1080" w:type="dxa"/>
            <w:tcBorders>
              <w:top w:val="nil"/>
              <w:left w:val="nil"/>
              <w:bottom w:val="single" w:sz="12" w:space="0" w:color="666666"/>
              <w:right w:val="nil"/>
            </w:tcBorders>
            <w:shd w:val="clear" w:color="auto" w:fill="FFFFFF"/>
            <w:tcMar>
              <w:top w:w="0" w:type="dxa"/>
              <w:left w:w="0" w:type="dxa"/>
              <w:bottom w:w="0" w:type="dxa"/>
              <w:right w:w="0" w:type="dxa"/>
            </w:tcMar>
          </w:tcPr>
          <w:p w14:paraId="3915D6FF" w14:textId="77777777" w:rsidR="00220327" w:rsidRDefault="00B51942">
            <w:pPr>
              <w:spacing w:before="240" w:after="240"/>
              <w:ind w:left="120" w:right="120"/>
              <w:jc w:val="center"/>
              <w:rPr>
                <w:b/>
                <w:sz w:val="18"/>
                <w:szCs w:val="18"/>
              </w:rPr>
            </w:pPr>
            <w:r>
              <w:rPr>
                <w:b/>
                <w:sz w:val="18"/>
                <w:szCs w:val="18"/>
              </w:rPr>
              <w:t>3</w:t>
            </w:r>
            <w:r>
              <w:rPr>
                <w:b/>
                <w:sz w:val="18"/>
                <w:szCs w:val="18"/>
                <w:vertAlign w:val="superscript"/>
              </w:rPr>
              <w:t>rd</w:t>
            </w:r>
            <w:r>
              <w:rPr>
                <w:b/>
                <w:sz w:val="18"/>
                <w:szCs w:val="18"/>
              </w:rPr>
              <w:t xml:space="preserve"> Q</w:t>
            </w:r>
          </w:p>
        </w:tc>
        <w:tc>
          <w:tcPr>
            <w:tcW w:w="1125" w:type="dxa"/>
            <w:tcBorders>
              <w:top w:val="nil"/>
              <w:left w:val="nil"/>
              <w:bottom w:val="single" w:sz="12" w:space="0" w:color="666666"/>
              <w:right w:val="nil"/>
            </w:tcBorders>
            <w:shd w:val="clear" w:color="auto" w:fill="FFFFFF"/>
            <w:tcMar>
              <w:top w:w="0" w:type="dxa"/>
              <w:left w:w="0" w:type="dxa"/>
              <w:bottom w:w="0" w:type="dxa"/>
              <w:right w:w="0" w:type="dxa"/>
            </w:tcMar>
          </w:tcPr>
          <w:p w14:paraId="15E5C99C" w14:textId="77777777" w:rsidR="00220327" w:rsidRDefault="00B51942">
            <w:pPr>
              <w:spacing w:before="240" w:after="240"/>
              <w:ind w:left="120" w:right="120"/>
              <w:jc w:val="center"/>
              <w:rPr>
                <w:b/>
                <w:sz w:val="18"/>
                <w:szCs w:val="18"/>
              </w:rPr>
            </w:pPr>
            <w:r>
              <w:rPr>
                <w:b/>
                <w:sz w:val="18"/>
                <w:szCs w:val="18"/>
              </w:rPr>
              <w:t>Max</w:t>
            </w:r>
          </w:p>
        </w:tc>
        <w:tc>
          <w:tcPr>
            <w:tcW w:w="705" w:type="dxa"/>
            <w:tcBorders>
              <w:top w:val="nil"/>
              <w:left w:val="nil"/>
              <w:bottom w:val="single" w:sz="12" w:space="0" w:color="666666"/>
              <w:right w:val="nil"/>
            </w:tcBorders>
            <w:shd w:val="clear" w:color="auto" w:fill="FFFFFF"/>
            <w:tcMar>
              <w:top w:w="0" w:type="dxa"/>
              <w:left w:w="0" w:type="dxa"/>
              <w:bottom w:w="0" w:type="dxa"/>
              <w:right w:w="0" w:type="dxa"/>
            </w:tcMar>
          </w:tcPr>
          <w:p w14:paraId="2B741866" w14:textId="77777777" w:rsidR="00220327" w:rsidRDefault="00B51942">
            <w:pPr>
              <w:spacing w:before="240" w:after="240"/>
              <w:ind w:left="120" w:right="120"/>
              <w:jc w:val="center"/>
              <w:rPr>
                <w:b/>
                <w:sz w:val="18"/>
                <w:szCs w:val="18"/>
              </w:rPr>
            </w:pPr>
            <w:r>
              <w:rPr>
                <w:b/>
                <w:sz w:val="18"/>
                <w:szCs w:val="18"/>
              </w:rPr>
              <w:t>NAs</w:t>
            </w:r>
          </w:p>
        </w:tc>
      </w:tr>
      <w:tr w:rsidR="00D70CFE" w14:paraId="73B2133B" w14:textId="77777777" w:rsidTr="00D70CFE">
        <w:trPr>
          <w:trHeight w:val="420"/>
        </w:trPr>
        <w:tc>
          <w:tcPr>
            <w:tcW w:w="132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5D2736CD" w14:textId="77777777" w:rsidR="00220327" w:rsidRDefault="00B51942">
            <w:pPr>
              <w:spacing w:before="240" w:after="240"/>
              <w:ind w:left="120" w:right="120"/>
              <w:rPr>
                <w:b/>
                <w:sz w:val="18"/>
                <w:szCs w:val="18"/>
              </w:rPr>
            </w:pPr>
            <w:r>
              <w:rPr>
                <w:b/>
                <w:sz w:val="18"/>
                <w:szCs w:val="18"/>
              </w:rPr>
              <w:t>avNNet</w:t>
            </w:r>
          </w:p>
        </w:tc>
        <w:tc>
          <w:tcPr>
            <w:tcW w:w="101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446E4751" w14:textId="77777777" w:rsidR="00220327" w:rsidRDefault="00B51942">
            <w:pPr>
              <w:spacing w:before="240" w:after="240"/>
              <w:jc w:val="center"/>
              <w:rPr>
                <w:sz w:val="18"/>
                <w:szCs w:val="18"/>
              </w:rPr>
            </w:pPr>
            <w:r>
              <w:rPr>
                <w:sz w:val="18"/>
                <w:szCs w:val="18"/>
              </w:rPr>
              <w:t>0.6780186</w:t>
            </w:r>
          </w:p>
        </w:tc>
        <w:tc>
          <w:tcPr>
            <w:tcW w:w="106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55B2B708" w14:textId="77777777" w:rsidR="00220327" w:rsidRDefault="00B51942">
            <w:pPr>
              <w:spacing w:before="240" w:after="240"/>
              <w:jc w:val="center"/>
              <w:rPr>
                <w:sz w:val="18"/>
                <w:szCs w:val="18"/>
              </w:rPr>
            </w:pPr>
            <w:r>
              <w:rPr>
                <w:sz w:val="18"/>
                <w:szCs w:val="18"/>
              </w:rPr>
              <w:t>0.6996904</w:t>
            </w:r>
          </w:p>
        </w:tc>
        <w:tc>
          <w:tcPr>
            <w:tcW w:w="109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4424881F" w14:textId="77777777" w:rsidR="00220327" w:rsidRDefault="00B51942">
            <w:pPr>
              <w:spacing w:before="240" w:after="240"/>
              <w:jc w:val="center"/>
              <w:rPr>
                <w:sz w:val="18"/>
                <w:szCs w:val="18"/>
              </w:rPr>
            </w:pPr>
            <w:r>
              <w:rPr>
                <w:sz w:val="18"/>
                <w:szCs w:val="18"/>
              </w:rPr>
              <w:t>0.7120743</w:t>
            </w:r>
          </w:p>
        </w:tc>
        <w:tc>
          <w:tcPr>
            <w:tcW w:w="106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4886DB69" w14:textId="77777777" w:rsidR="00220327" w:rsidRDefault="00B51942">
            <w:pPr>
              <w:spacing w:before="240" w:after="240"/>
              <w:jc w:val="center"/>
              <w:rPr>
                <w:sz w:val="18"/>
                <w:szCs w:val="18"/>
              </w:rPr>
            </w:pPr>
            <w:r>
              <w:rPr>
                <w:sz w:val="18"/>
                <w:szCs w:val="18"/>
              </w:rPr>
              <w:t>0.7083591</w:t>
            </w:r>
          </w:p>
        </w:tc>
        <w:tc>
          <w:tcPr>
            <w:tcW w:w="108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789C364A" w14:textId="77777777" w:rsidR="00220327" w:rsidRDefault="00B51942">
            <w:pPr>
              <w:spacing w:before="240" w:after="240"/>
              <w:jc w:val="center"/>
              <w:rPr>
                <w:sz w:val="18"/>
                <w:szCs w:val="18"/>
              </w:rPr>
            </w:pPr>
            <w:r>
              <w:rPr>
                <w:sz w:val="18"/>
                <w:szCs w:val="18"/>
              </w:rPr>
              <w:t>0.7151703</w:t>
            </w:r>
          </w:p>
        </w:tc>
        <w:tc>
          <w:tcPr>
            <w:tcW w:w="112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1BDBAB59" w14:textId="77777777" w:rsidR="00220327" w:rsidRDefault="00B51942">
            <w:pPr>
              <w:spacing w:before="240" w:after="240"/>
              <w:jc w:val="center"/>
              <w:rPr>
                <w:sz w:val="18"/>
                <w:szCs w:val="18"/>
              </w:rPr>
            </w:pPr>
            <w:r>
              <w:rPr>
                <w:sz w:val="18"/>
                <w:szCs w:val="18"/>
              </w:rPr>
              <w:t>0.7368421</w:t>
            </w:r>
          </w:p>
        </w:tc>
        <w:tc>
          <w:tcPr>
            <w:tcW w:w="705" w:type="dxa"/>
            <w:tcBorders>
              <w:top w:val="nil"/>
              <w:left w:val="nil"/>
              <w:bottom w:val="single" w:sz="8" w:space="0" w:color="666666"/>
              <w:right w:val="nil"/>
            </w:tcBorders>
            <w:shd w:val="clear" w:color="auto" w:fill="EFEFEF"/>
            <w:tcMar>
              <w:top w:w="0" w:type="dxa"/>
              <w:left w:w="0" w:type="dxa"/>
              <w:bottom w:w="0" w:type="dxa"/>
              <w:right w:w="0" w:type="dxa"/>
            </w:tcMar>
            <w:vAlign w:val="center"/>
          </w:tcPr>
          <w:p w14:paraId="55492F8D" w14:textId="77777777" w:rsidR="00220327" w:rsidRDefault="00B51942">
            <w:pPr>
              <w:spacing w:before="240" w:after="240"/>
              <w:ind w:left="120" w:right="120"/>
              <w:jc w:val="center"/>
              <w:rPr>
                <w:sz w:val="18"/>
                <w:szCs w:val="18"/>
              </w:rPr>
            </w:pPr>
            <w:r>
              <w:rPr>
                <w:sz w:val="18"/>
                <w:szCs w:val="18"/>
              </w:rPr>
              <w:t>0</w:t>
            </w:r>
          </w:p>
        </w:tc>
      </w:tr>
      <w:tr w:rsidR="00D70CFE" w14:paraId="17075396" w14:textId="77777777" w:rsidTr="00D70CFE">
        <w:trPr>
          <w:trHeight w:val="420"/>
        </w:trPr>
        <w:tc>
          <w:tcPr>
            <w:tcW w:w="1325" w:type="dxa"/>
            <w:tcBorders>
              <w:top w:val="nil"/>
              <w:left w:val="nil"/>
              <w:bottom w:val="single" w:sz="8" w:space="0" w:color="666666"/>
              <w:right w:val="single" w:sz="8" w:space="0" w:color="666666"/>
            </w:tcBorders>
            <w:tcMar>
              <w:top w:w="0" w:type="dxa"/>
              <w:left w:w="0" w:type="dxa"/>
              <w:bottom w:w="0" w:type="dxa"/>
              <w:right w:w="0" w:type="dxa"/>
            </w:tcMar>
            <w:vAlign w:val="center"/>
          </w:tcPr>
          <w:p w14:paraId="1198A490" w14:textId="77777777" w:rsidR="00220327" w:rsidRDefault="00B51942">
            <w:pPr>
              <w:spacing w:before="240" w:after="240"/>
              <w:ind w:left="120" w:right="120"/>
              <w:rPr>
                <w:b/>
                <w:sz w:val="18"/>
                <w:szCs w:val="18"/>
              </w:rPr>
            </w:pPr>
            <w:r>
              <w:rPr>
                <w:b/>
                <w:sz w:val="18"/>
                <w:szCs w:val="18"/>
              </w:rPr>
              <w:t>xgbDART</w:t>
            </w:r>
          </w:p>
        </w:tc>
        <w:tc>
          <w:tcPr>
            <w:tcW w:w="1015" w:type="dxa"/>
            <w:tcBorders>
              <w:top w:val="nil"/>
              <w:left w:val="nil"/>
              <w:bottom w:val="single" w:sz="8" w:space="0" w:color="666666"/>
              <w:right w:val="single" w:sz="8" w:space="0" w:color="666666"/>
            </w:tcBorders>
            <w:tcMar>
              <w:top w:w="0" w:type="dxa"/>
              <w:left w:w="0" w:type="dxa"/>
              <w:bottom w:w="0" w:type="dxa"/>
              <w:right w:w="0" w:type="dxa"/>
            </w:tcMar>
            <w:vAlign w:val="center"/>
          </w:tcPr>
          <w:p w14:paraId="27EDF1F8" w14:textId="77777777" w:rsidR="00220327" w:rsidRDefault="00B51942">
            <w:pPr>
              <w:spacing w:before="240" w:after="240"/>
              <w:jc w:val="center"/>
              <w:rPr>
                <w:sz w:val="18"/>
                <w:szCs w:val="18"/>
              </w:rPr>
            </w:pPr>
            <w:r>
              <w:rPr>
                <w:sz w:val="18"/>
                <w:szCs w:val="18"/>
              </w:rPr>
              <w:t>0.7120743</w:t>
            </w:r>
          </w:p>
        </w:tc>
        <w:tc>
          <w:tcPr>
            <w:tcW w:w="1065" w:type="dxa"/>
            <w:tcBorders>
              <w:top w:val="nil"/>
              <w:left w:val="nil"/>
              <w:bottom w:val="single" w:sz="8" w:space="0" w:color="666666"/>
              <w:right w:val="single" w:sz="8" w:space="0" w:color="666666"/>
            </w:tcBorders>
            <w:tcMar>
              <w:top w:w="0" w:type="dxa"/>
              <w:left w:w="0" w:type="dxa"/>
              <w:bottom w:w="0" w:type="dxa"/>
              <w:right w:w="0" w:type="dxa"/>
            </w:tcMar>
            <w:vAlign w:val="center"/>
          </w:tcPr>
          <w:p w14:paraId="6E687FC6" w14:textId="77777777" w:rsidR="00220327" w:rsidRDefault="00B51942">
            <w:pPr>
              <w:spacing w:before="240" w:after="240"/>
              <w:jc w:val="center"/>
              <w:rPr>
                <w:sz w:val="18"/>
                <w:szCs w:val="18"/>
              </w:rPr>
            </w:pPr>
            <w:r>
              <w:rPr>
                <w:sz w:val="18"/>
                <w:szCs w:val="18"/>
              </w:rPr>
              <w:t>0.7120743</w:t>
            </w:r>
          </w:p>
        </w:tc>
        <w:tc>
          <w:tcPr>
            <w:tcW w:w="1095" w:type="dxa"/>
            <w:tcBorders>
              <w:top w:val="nil"/>
              <w:left w:val="nil"/>
              <w:bottom w:val="single" w:sz="8" w:space="0" w:color="666666"/>
              <w:right w:val="single" w:sz="8" w:space="0" w:color="666666"/>
            </w:tcBorders>
            <w:tcMar>
              <w:top w:w="0" w:type="dxa"/>
              <w:left w:w="0" w:type="dxa"/>
              <w:bottom w:w="0" w:type="dxa"/>
              <w:right w:w="0" w:type="dxa"/>
            </w:tcMar>
            <w:vAlign w:val="center"/>
          </w:tcPr>
          <w:p w14:paraId="39FAB01D" w14:textId="77777777" w:rsidR="00220327" w:rsidRDefault="00B51942">
            <w:pPr>
              <w:spacing w:before="240" w:after="240"/>
              <w:jc w:val="center"/>
              <w:rPr>
                <w:sz w:val="18"/>
                <w:szCs w:val="18"/>
              </w:rPr>
            </w:pPr>
            <w:r>
              <w:rPr>
                <w:sz w:val="18"/>
                <w:szCs w:val="18"/>
              </w:rPr>
              <w:t>0.7213622</w:t>
            </w:r>
          </w:p>
        </w:tc>
        <w:tc>
          <w:tcPr>
            <w:tcW w:w="1065" w:type="dxa"/>
            <w:tcBorders>
              <w:top w:val="nil"/>
              <w:left w:val="nil"/>
              <w:bottom w:val="single" w:sz="8" w:space="0" w:color="666666"/>
              <w:right w:val="single" w:sz="8" w:space="0" w:color="666666"/>
            </w:tcBorders>
            <w:tcMar>
              <w:top w:w="0" w:type="dxa"/>
              <w:left w:w="0" w:type="dxa"/>
              <w:bottom w:w="0" w:type="dxa"/>
              <w:right w:w="0" w:type="dxa"/>
            </w:tcMar>
            <w:vAlign w:val="center"/>
          </w:tcPr>
          <w:p w14:paraId="614312A3" w14:textId="77777777" w:rsidR="00220327" w:rsidRDefault="00B51942">
            <w:pPr>
              <w:spacing w:before="240" w:after="240"/>
              <w:jc w:val="center"/>
              <w:rPr>
                <w:sz w:val="18"/>
                <w:szCs w:val="18"/>
              </w:rPr>
            </w:pPr>
            <w:r>
              <w:rPr>
                <w:sz w:val="18"/>
                <w:szCs w:val="18"/>
              </w:rPr>
              <w:t>0.7244582</w:t>
            </w:r>
          </w:p>
        </w:tc>
        <w:tc>
          <w:tcPr>
            <w:tcW w:w="1080" w:type="dxa"/>
            <w:tcBorders>
              <w:top w:val="nil"/>
              <w:left w:val="nil"/>
              <w:bottom w:val="single" w:sz="8" w:space="0" w:color="666666"/>
              <w:right w:val="single" w:sz="8" w:space="0" w:color="666666"/>
            </w:tcBorders>
            <w:tcMar>
              <w:top w:w="0" w:type="dxa"/>
              <w:left w:w="0" w:type="dxa"/>
              <w:bottom w:w="0" w:type="dxa"/>
              <w:right w:w="0" w:type="dxa"/>
            </w:tcMar>
            <w:vAlign w:val="center"/>
          </w:tcPr>
          <w:p w14:paraId="652EE9B4" w14:textId="77777777" w:rsidR="00220327" w:rsidRDefault="00B51942">
            <w:pPr>
              <w:spacing w:before="240" w:after="240"/>
              <w:jc w:val="center"/>
              <w:rPr>
                <w:sz w:val="18"/>
                <w:szCs w:val="18"/>
              </w:rPr>
            </w:pPr>
            <w:r>
              <w:rPr>
                <w:sz w:val="18"/>
                <w:szCs w:val="18"/>
              </w:rPr>
              <w:t>0.7337461</w:t>
            </w:r>
          </w:p>
        </w:tc>
        <w:tc>
          <w:tcPr>
            <w:tcW w:w="1125" w:type="dxa"/>
            <w:tcBorders>
              <w:top w:val="nil"/>
              <w:left w:val="nil"/>
              <w:bottom w:val="single" w:sz="8" w:space="0" w:color="666666"/>
              <w:right w:val="single" w:sz="8" w:space="0" w:color="666666"/>
            </w:tcBorders>
            <w:tcMar>
              <w:top w:w="0" w:type="dxa"/>
              <w:left w:w="0" w:type="dxa"/>
              <w:bottom w:w="0" w:type="dxa"/>
              <w:right w:w="0" w:type="dxa"/>
            </w:tcMar>
            <w:vAlign w:val="center"/>
          </w:tcPr>
          <w:p w14:paraId="53C88D35" w14:textId="77777777" w:rsidR="00220327" w:rsidRDefault="00B51942">
            <w:pPr>
              <w:spacing w:before="240" w:after="240"/>
              <w:jc w:val="center"/>
              <w:rPr>
                <w:sz w:val="18"/>
                <w:szCs w:val="18"/>
              </w:rPr>
            </w:pPr>
            <w:r>
              <w:rPr>
                <w:sz w:val="18"/>
                <w:szCs w:val="18"/>
              </w:rPr>
              <w:t xml:space="preserve">0.7430341 </w:t>
            </w:r>
          </w:p>
        </w:tc>
        <w:tc>
          <w:tcPr>
            <w:tcW w:w="705" w:type="dxa"/>
            <w:tcBorders>
              <w:top w:val="nil"/>
              <w:left w:val="nil"/>
              <w:bottom w:val="single" w:sz="8" w:space="0" w:color="666666"/>
              <w:right w:val="nil"/>
            </w:tcBorders>
            <w:tcMar>
              <w:top w:w="0" w:type="dxa"/>
              <w:left w:w="0" w:type="dxa"/>
              <w:bottom w:w="0" w:type="dxa"/>
              <w:right w:w="0" w:type="dxa"/>
            </w:tcMar>
            <w:vAlign w:val="center"/>
          </w:tcPr>
          <w:p w14:paraId="4FDE1CE5" w14:textId="77777777" w:rsidR="00220327" w:rsidRDefault="00B51942">
            <w:pPr>
              <w:spacing w:before="240" w:after="240"/>
              <w:ind w:left="120" w:right="120"/>
              <w:jc w:val="center"/>
              <w:rPr>
                <w:sz w:val="18"/>
                <w:szCs w:val="18"/>
              </w:rPr>
            </w:pPr>
            <w:r>
              <w:rPr>
                <w:sz w:val="18"/>
                <w:szCs w:val="18"/>
              </w:rPr>
              <w:t>0</w:t>
            </w:r>
          </w:p>
        </w:tc>
      </w:tr>
      <w:tr w:rsidR="00D70CFE" w14:paraId="2239D5B7" w14:textId="77777777" w:rsidTr="00D70CFE">
        <w:trPr>
          <w:trHeight w:val="420"/>
        </w:trPr>
        <w:tc>
          <w:tcPr>
            <w:tcW w:w="132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0F1E6588" w14:textId="77777777" w:rsidR="00220327" w:rsidRDefault="00B51942">
            <w:pPr>
              <w:spacing w:before="240" w:after="240"/>
              <w:ind w:left="120" w:right="120"/>
              <w:rPr>
                <w:b/>
                <w:sz w:val="18"/>
                <w:szCs w:val="18"/>
              </w:rPr>
            </w:pPr>
            <w:r>
              <w:rPr>
                <w:b/>
                <w:sz w:val="18"/>
                <w:szCs w:val="18"/>
              </w:rPr>
              <w:t>glmnet</w:t>
            </w:r>
          </w:p>
        </w:tc>
        <w:tc>
          <w:tcPr>
            <w:tcW w:w="101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1C29C330" w14:textId="77777777" w:rsidR="00220327" w:rsidRDefault="00B51942">
            <w:pPr>
              <w:spacing w:before="240" w:after="240"/>
              <w:jc w:val="center"/>
              <w:rPr>
                <w:sz w:val="18"/>
                <w:szCs w:val="18"/>
              </w:rPr>
            </w:pPr>
            <w:r>
              <w:rPr>
                <w:sz w:val="18"/>
                <w:szCs w:val="18"/>
              </w:rPr>
              <w:t>0.7027864</w:t>
            </w:r>
          </w:p>
        </w:tc>
        <w:tc>
          <w:tcPr>
            <w:tcW w:w="106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0931C56F" w14:textId="77777777" w:rsidR="00220327" w:rsidRDefault="00B51942">
            <w:pPr>
              <w:spacing w:before="240" w:after="240"/>
              <w:jc w:val="center"/>
              <w:rPr>
                <w:sz w:val="18"/>
                <w:szCs w:val="18"/>
              </w:rPr>
            </w:pPr>
            <w:r>
              <w:rPr>
                <w:sz w:val="18"/>
                <w:szCs w:val="18"/>
              </w:rPr>
              <w:t>0.7058824</w:t>
            </w:r>
          </w:p>
        </w:tc>
        <w:tc>
          <w:tcPr>
            <w:tcW w:w="109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556FE141" w14:textId="77777777" w:rsidR="00220327" w:rsidRDefault="00B51942">
            <w:pPr>
              <w:spacing w:before="240" w:after="240"/>
              <w:jc w:val="center"/>
              <w:rPr>
                <w:sz w:val="18"/>
                <w:szCs w:val="18"/>
              </w:rPr>
            </w:pPr>
            <w:r>
              <w:rPr>
                <w:sz w:val="18"/>
                <w:szCs w:val="18"/>
              </w:rPr>
              <w:t>0.7213622</w:t>
            </w:r>
          </w:p>
        </w:tc>
        <w:tc>
          <w:tcPr>
            <w:tcW w:w="106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402161B7" w14:textId="77777777" w:rsidR="00220327" w:rsidRDefault="00B51942">
            <w:pPr>
              <w:spacing w:before="240" w:after="240"/>
              <w:jc w:val="center"/>
              <w:rPr>
                <w:sz w:val="18"/>
                <w:szCs w:val="18"/>
              </w:rPr>
            </w:pPr>
            <w:r>
              <w:rPr>
                <w:sz w:val="18"/>
                <w:szCs w:val="18"/>
              </w:rPr>
              <w:t>0.7207430</w:t>
            </w:r>
          </w:p>
        </w:tc>
        <w:tc>
          <w:tcPr>
            <w:tcW w:w="1080"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5BAE80EC" w14:textId="77777777" w:rsidR="00220327" w:rsidRDefault="00B51942">
            <w:pPr>
              <w:spacing w:before="240" w:after="240"/>
              <w:jc w:val="center"/>
              <w:rPr>
                <w:sz w:val="18"/>
                <w:szCs w:val="18"/>
              </w:rPr>
            </w:pPr>
            <w:r>
              <w:rPr>
                <w:sz w:val="18"/>
                <w:szCs w:val="18"/>
              </w:rPr>
              <w:t>0.7337461</w:t>
            </w:r>
          </w:p>
        </w:tc>
        <w:tc>
          <w:tcPr>
            <w:tcW w:w="1125" w:type="dxa"/>
            <w:tcBorders>
              <w:top w:val="nil"/>
              <w:left w:val="nil"/>
              <w:bottom w:val="single" w:sz="8" w:space="0" w:color="666666"/>
              <w:right w:val="single" w:sz="8" w:space="0" w:color="666666"/>
            </w:tcBorders>
            <w:shd w:val="clear" w:color="auto" w:fill="EFEFEF"/>
            <w:tcMar>
              <w:top w:w="0" w:type="dxa"/>
              <w:left w:w="0" w:type="dxa"/>
              <w:bottom w:w="0" w:type="dxa"/>
              <w:right w:w="0" w:type="dxa"/>
            </w:tcMar>
            <w:vAlign w:val="center"/>
          </w:tcPr>
          <w:p w14:paraId="5094B699" w14:textId="77777777" w:rsidR="00220327" w:rsidRDefault="00B51942">
            <w:pPr>
              <w:spacing w:before="240" w:after="240"/>
              <w:jc w:val="center"/>
              <w:rPr>
                <w:sz w:val="18"/>
                <w:szCs w:val="18"/>
              </w:rPr>
            </w:pPr>
            <w:r>
              <w:rPr>
                <w:sz w:val="18"/>
                <w:szCs w:val="18"/>
              </w:rPr>
              <w:t>0.7399381</w:t>
            </w:r>
          </w:p>
        </w:tc>
        <w:tc>
          <w:tcPr>
            <w:tcW w:w="705" w:type="dxa"/>
            <w:tcBorders>
              <w:top w:val="nil"/>
              <w:left w:val="nil"/>
              <w:bottom w:val="single" w:sz="8" w:space="0" w:color="666666"/>
              <w:right w:val="nil"/>
            </w:tcBorders>
            <w:shd w:val="clear" w:color="auto" w:fill="EFEFEF"/>
            <w:tcMar>
              <w:top w:w="0" w:type="dxa"/>
              <w:left w:w="0" w:type="dxa"/>
              <w:bottom w:w="0" w:type="dxa"/>
              <w:right w:w="0" w:type="dxa"/>
            </w:tcMar>
            <w:vAlign w:val="center"/>
          </w:tcPr>
          <w:p w14:paraId="742DF5C1" w14:textId="77777777" w:rsidR="00220327" w:rsidRDefault="00B51942">
            <w:pPr>
              <w:spacing w:before="240" w:after="240"/>
              <w:ind w:left="120" w:right="120"/>
              <w:jc w:val="center"/>
              <w:rPr>
                <w:sz w:val="18"/>
                <w:szCs w:val="18"/>
              </w:rPr>
            </w:pPr>
            <w:r>
              <w:rPr>
                <w:sz w:val="18"/>
                <w:szCs w:val="18"/>
              </w:rPr>
              <w:t>0</w:t>
            </w:r>
          </w:p>
        </w:tc>
      </w:tr>
      <w:tr w:rsidR="00D70CFE" w14:paraId="2A7BF661" w14:textId="77777777" w:rsidTr="00D70CFE">
        <w:trPr>
          <w:trHeight w:val="420"/>
        </w:trPr>
        <w:tc>
          <w:tcPr>
            <w:tcW w:w="1325" w:type="dxa"/>
            <w:tcBorders>
              <w:top w:val="nil"/>
              <w:left w:val="nil"/>
              <w:bottom w:val="single" w:sz="8" w:space="0" w:color="666666"/>
              <w:right w:val="single" w:sz="8" w:space="0" w:color="666666"/>
            </w:tcBorders>
            <w:tcMar>
              <w:top w:w="0" w:type="dxa"/>
              <w:left w:w="0" w:type="dxa"/>
              <w:bottom w:w="0" w:type="dxa"/>
              <w:right w:w="0" w:type="dxa"/>
            </w:tcMar>
            <w:vAlign w:val="center"/>
          </w:tcPr>
          <w:p w14:paraId="1FC896D6" w14:textId="77777777" w:rsidR="00220327" w:rsidRDefault="00B51942">
            <w:pPr>
              <w:spacing w:before="240" w:after="240"/>
              <w:ind w:left="120" w:right="120"/>
              <w:rPr>
                <w:b/>
                <w:sz w:val="18"/>
                <w:szCs w:val="18"/>
              </w:rPr>
            </w:pPr>
            <w:r>
              <w:rPr>
                <w:b/>
                <w:sz w:val="18"/>
                <w:szCs w:val="18"/>
              </w:rPr>
              <w:t>bartMachine</w:t>
            </w:r>
          </w:p>
        </w:tc>
        <w:tc>
          <w:tcPr>
            <w:tcW w:w="1015" w:type="dxa"/>
            <w:tcBorders>
              <w:top w:val="nil"/>
              <w:left w:val="nil"/>
              <w:bottom w:val="single" w:sz="8" w:space="0" w:color="666666"/>
              <w:right w:val="single" w:sz="8" w:space="0" w:color="666666"/>
            </w:tcBorders>
            <w:tcMar>
              <w:top w:w="0" w:type="dxa"/>
              <w:left w:w="0" w:type="dxa"/>
              <w:bottom w:w="0" w:type="dxa"/>
              <w:right w:w="0" w:type="dxa"/>
            </w:tcMar>
            <w:vAlign w:val="center"/>
          </w:tcPr>
          <w:p w14:paraId="6D4F62E9" w14:textId="77777777" w:rsidR="00220327" w:rsidRDefault="00B51942">
            <w:pPr>
              <w:spacing w:before="240" w:after="240"/>
              <w:jc w:val="center"/>
              <w:rPr>
                <w:sz w:val="18"/>
                <w:szCs w:val="18"/>
              </w:rPr>
            </w:pPr>
            <w:r>
              <w:rPr>
                <w:sz w:val="18"/>
                <w:szCs w:val="18"/>
              </w:rPr>
              <w:t>0.7058824</w:t>
            </w:r>
          </w:p>
        </w:tc>
        <w:tc>
          <w:tcPr>
            <w:tcW w:w="1065" w:type="dxa"/>
            <w:tcBorders>
              <w:top w:val="nil"/>
              <w:left w:val="nil"/>
              <w:bottom w:val="single" w:sz="8" w:space="0" w:color="666666"/>
              <w:right w:val="single" w:sz="8" w:space="0" w:color="666666"/>
            </w:tcBorders>
            <w:tcMar>
              <w:top w:w="0" w:type="dxa"/>
              <w:left w:w="0" w:type="dxa"/>
              <w:bottom w:w="0" w:type="dxa"/>
              <w:right w:w="0" w:type="dxa"/>
            </w:tcMar>
            <w:vAlign w:val="center"/>
          </w:tcPr>
          <w:p w14:paraId="19927650" w14:textId="77777777" w:rsidR="00220327" w:rsidRDefault="00B51942">
            <w:pPr>
              <w:spacing w:before="240" w:after="240"/>
              <w:jc w:val="center"/>
              <w:rPr>
                <w:sz w:val="18"/>
                <w:szCs w:val="18"/>
              </w:rPr>
            </w:pPr>
            <w:r>
              <w:rPr>
                <w:sz w:val="18"/>
                <w:szCs w:val="18"/>
              </w:rPr>
              <w:t>0.7089783</w:t>
            </w:r>
          </w:p>
        </w:tc>
        <w:tc>
          <w:tcPr>
            <w:tcW w:w="1095" w:type="dxa"/>
            <w:tcBorders>
              <w:top w:val="nil"/>
              <w:left w:val="nil"/>
              <w:bottom w:val="single" w:sz="8" w:space="0" w:color="666666"/>
              <w:right w:val="single" w:sz="8" w:space="0" w:color="666666"/>
            </w:tcBorders>
            <w:tcMar>
              <w:top w:w="0" w:type="dxa"/>
              <w:left w:w="0" w:type="dxa"/>
              <w:bottom w:w="0" w:type="dxa"/>
              <w:right w:w="0" w:type="dxa"/>
            </w:tcMar>
            <w:vAlign w:val="center"/>
          </w:tcPr>
          <w:p w14:paraId="22D1A3AC" w14:textId="77777777" w:rsidR="00220327" w:rsidRDefault="00B51942">
            <w:pPr>
              <w:spacing w:before="240" w:after="240"/>
              <w:jc w:val="center"/>
              <w:rPr>
                <w:sz w:val="18"/>
                <w:szCs w:val="18"/>
              </w:rPr>
            </w:pPr>
            <w:r>
              <w:rPr>
                <w:sz w:val="18"/>
                <w:szCs w:val="18"/>
              </w:rPr>
              <w:t>0.7120743</w:t>
            </w:r>
          </w:p>
        </w:tc>
        <w:tc>
          <w:tcPr>
            <w:tcW w:w="1065" w:type="dxa"/>
            <w:tcBorders>
              <w:top w:val="nil"/>
              <w:left w:val="nil"/>
              <w:bottom w:val="single" w:sz="8" w:space="0" w:color="666666"/>
              <w:right w:val="single" w:sz="8" w:space="0" w:color="666666"/>
            </w:tcBorders>
            <w:tcMar>
              <w:top w:w="0" w:type="dxa"/>
              <w:left w:w="0" w:type="dxa"/>
              <w:bottom w:w="0" w:type="dxa"/>
              <w:right w:w="0" w:type="dxa"/>
            </w:tcMar>
            <w:vAlign w:val="center"/>
          </w:tcPr>
          <w:p w14:paraId="5F80B155" w14:textId="77777777" w:rsidR="00220327" w:rsidRDefault="00B51942">
            <w:pPr>
              <w:spacing w:before="240" w:after="240"/>
              <w:jc w:val="center"/>
              <w:rPr>
                <w:sz w:val="18"/>
                <w:szCs w:val="18"/>
              </w:rPr>
            </w:pPr>
            <w:r>
              <w:rPr>
                <w:sz w:val="18"/>
                <w:szCs w:val="18"/>
              </w:rPr>
              <w:t>0.7201238</w:t>
            </w:r>
          </w:p>
        </w:tc>
        <w:tc>
          <w:tcPr>
            <w:tcW w:w="1080" w:type="dxa"/>
            <w:tcBorders>
              <w:top w:val="nil"/>
              <w:left w:val="nil"/>
              <w:bottom w:val="single" w:sz="8" w:space="0" w:color="666666"/>
              <w:right w:val="single" w:sz="8" w:space="0" w:color="666666"/>
            </w:tcBorders>
            <w:tcMar>
              <w:top w:w="0" w:type="dxa"/>
              <w:left w:w="0" w:type="dxa"/>
              <w:bottom w:w="0" w:type="dxa"/>
              <w:right w:w="0" w:type="dxa"/>
            </w:tcMar>
            <w:vAlign w:val="center"/>
          </w:tcPr>
          <w:p w14:paraId="671FFE64" w14:textId="77777777" w:rsidR="00220327" w:rsidRDefault="00B51942">
            <w:pPr>
              <w:spacing w:before="240" w:after="240"/>
              <w:jc w:val="center"/>
              <w:rPr>
                <w:sz w:val="18"/>
                <w:szCs w:val="18"/>
              </w:rPr>
            </w:pPr>
            <w:r>
              <w:rPr>
                <w:sz w:val="18"/>
                <w:szCs w:val="18"/>
              </w:rPr>
              <w:t>0.7244582</w:t>
            </w:r>
          </w:p>
        </w:tc>
        <w:tc>
          <w:tcPr>
            <w:tcW w:w="1125" w:type="dxa"/>
            <w:tcBorders>
              <w:top w:val="nil"/>
              <w:left w:val="nil"/>
              <w:bottom w:val="single" w:sz="8" w:space="0" w:color="666666"/>
              <w:right w:val="single" w:sz="8" w:space="0" w:color="666666"/>
            </w:tcBorders>
            <w:tcMar>
              <w:top w:w="0" w:type="dxa"/>
              <w:left w:w="0" w:type="dxa"/>
              <w:bottom w:w="0" w:type="dxa"/>
              <w:right w:w="0" w:type="dxa"/>
            </w:tcMar>
            <w:vAlign w:val="center"/>
          </w:tcPr>
          <w:p w14:paraId="516F2D7A" w14:textId="77777777" w:rsidR="00220327" w:rsidRDefault="00B51942">
            <w:pPr>
              <w:spacing w:before="240" w:after="240"/>
              <w:jc w:val="center"/>
              <w:rPr>
                <w:sz w:val="18"/>
                <w:szCs w:val="18"/>
              </w:rPr>
            </w:pPr>
            <w:r>
              <w:rPr>
                <w:sz w:val="18"/>
                <w:szCs w:val="18"/>
              </w:rPr>
              <w:t xml:space="preserve">0.7492260 </w:t>
            </w:r>
          </w:p>
        </w:tc>
        <w:tc>
          <w:tcPr>
            <w:tcW w:w="705" w:type="dxa"/>
            <w:tcBorders>
              <w:top w:val="nil"/>
              <w:left w:val="nil"/>
              <w:bottom w:val="single" w:sz="8" w:space="0" w:color="666666"/>
              <w:right w:val="nil"/>
            </w:tcBorders>
            <w:tcMar>
              <w:top w:w="0" w:type="dxa"/>
              <w:left w:w="0" w:type="dxa"/>
              <w:bottom w:w="0" w:type="dxa"/>
              <w:right w:w="0" w:type="dxa"/>
            </w:tcMar>
            <w:vAlign w:val="center"/>
          </w:tcPr>
          <w:p w14:paraId="3130716B" w14:textId="77777777" w:rsidR="00220327" w:rsidRDefault="00B51942">
            <w:pPr>
              <w:spacing w:before="240" w:after="240"/>
              <w:ind w:left="120" w:right="120"/>
              <w:jc w:val="center"/>
              <w:rPr>
                <w:sz w:val="18"/>
                <w:szCs w:val="18"/>
              </w:rPr>
            </w:pPr>
            <w:r>
              <w:rPr>
                <w:sz w:val="18"/>
                <w:szCs w:val="18"/>
              </w:rPr>
              <w:t>0</w:t>
            </w:r>
          </w:p>
        </w:tc>
      </w:tr>
    </w:tbl>
    <w:p w14:paraId="70A7BF47" w14:textId="77777777" w:rsidR="00220327" w:rsidRDefault="00B51942">
      <w:pPr>
        <w:spacing w:before="240" w:after="240"/>
      </w:pPr>
      <w:r>
        <w:t>Although the models we trained were fairly complex, they did predict much better than some of the models mentioned prior. 2% is a big difference in classification rate in this scenario. We feel confident that our combined model was a linear combination thr</w:t>
      </w:r>
      <w:r>
        <w:t>ough 50 bootstrapped samples of 4 other well performing models. The most important variables in these models were similar to our Earth and lasso variables for spread. Most of the variables included in all of these models do seem to be significant to some e</w:t>
      </w:r>
      <w:r>
        <w:t>xtent. We will list the most important variables in our regularized logistic regression, although none of them are particularly interesting:</w:t>
      </w:r>
    </w:p>
    <w:p w14:paraId="6E61F10A" w14:textId="77777777" w:rsidR="00220327" w:rsidRDefault="00B51942">
      <w:pPr>
        <w:spacing w:before="240" w:after="240"/>
        <w:jc w:val="center"/>
      </w:pPr>
      <w:r>
        <w:rPr>
          <w:noProof/>
          <w:lang w:val="en-US"/>
        </w:rPr>
        <w:drawing>
          <wp:inline distT="114300" distB="114300" distL="114300" distR="114300" wp14:anchorId="39B3FFBC" wp14:editId="4966A77D">
            <wp:extent cx="2645699" cy="3093258"/>
            <wp:effectExtent l="0" t="0" r="0" b="571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81449" cy="3135056"/>
                    </a:xfrm>
                    <a:prstGeom prst="rect">
                      <a:avLst/>
                    </a:prstGeom>
                    <a:ln/>
                  </pic:spPr>
                </pic:pic>
              </a:graphicData>
            </a:graphic>
          </wp:inline>
        </w:drawing>
      </w:r>
    </w:p>
    <w:p w14:paraId="3E68FC5A" w14:textId="77777777" w:rsidR="00220327" w:rsidRDefault="00B51942">
      <w:pPr>
        <w:spacing w:before="240" w:after="240"/>
        <w:jc w:val="center"/>
        <w:rPr>
          <w:b/>
          <w:sz w:val="48"/>
          <w:szCs w:val="48"/>
        </w:rPr>
      </w:pPr>
      <w:bookmarkStart w:id="0" w:name="_GoBack"/>
      <w:bookmarkEnd w:id="0"/>
      <w:r>
        <w:rPr>
          <w:b/>
          <w:sz w:val="48"/>
          <w:szCs w:val="48"/>
        </w:rPr>
        <w:lastRenderedPageBreak/>
        <w:t>References</w:t>
      </w:r>
    </w:p>
    <w:p w14:paraId="5CA5DBF0" w14:textId="77777777" w:rsidR="00220327" w:rsidRDefault="00B51942">
      <w:pPr>
        <w:rPr>
          <w:highlight w:val="white"/>
        </w:rPr>
      </w:pPr>
      <w:r>
        <w:rPr>
          <w:highlight w:val="white"/>
        </w:rPr>
        <w:t>[1]</w:t>
      </w:r>
      <w:r>
        <w:rPr>
          <w:highlight w:val="white"/>
        </w:rPr>
        <w:tab/>
        <w:t xml:space="preserve">"2016 Football Team Rankings", </w:t>
      </w:r>
      <w:r>
        <w:rPr>
          <w:i/>
          <w:highlight w:val="white"/>
        </w:rPr>
        <w:t>247Sports</w:t>
      </w:r>
      <w:r>
        <w:rPr>
          <w:highlight w:val="white"/>
        </w:rPr>
        <w:t>, 2019. [Online]. Available:</w:t>
      </w:r>
      <w:r>
        <w:rPr>
          <w:highlight w:val="white"/>
        </w:rPr>
        <w:tab/>
      </w:r>
      <w:r>
        <w:rPr>
          <w:highlight w:val="white"/>
        </w:rPr>
        <w:tab/>
      </w:r>
      <w:r>
        <w:rPr>
          <w:highlight w:val="white"/>
        </w:rPr>
        <w:tab/>
      </w:r>
      <w:r>
        <w:rPr>
          <w:highlight w:val="white"/>
        </w:rPr>
        <w:tab/>
      </w:r>
      <w:r>
        <w:rPr>
          <w:highlight w:val="white"/>
        </w:rPr>
        <w:t>https://247sports.com/Season/2016-Football/CompositeTeamRankings/. [Accessed: 22-</w:t>
      </w:r>
      <w:r>
        <w:rPr>
          <w:highlight w:val="white"/>
        </w:rPr>
        <w:tab/>
      </w:r>
      <w:r>
        <w:rPr>
          <w:highlight w:val="white"/>
        </w:rPr>
        <w:tab/>
        <w:t>Oct- 2019].</w:t>
      </w:r>
    </w:p>
    <w:p w14:paraId="61F37ED2" w14:textId="77777777" w:rsidR="00220327" w:rsidRDefault="00B51942">
      <w:pPr>
        <w:rPr>
          <w:highlight w:val="white"/>
        </w:rPr>
      </w:pPr>
      <w:r>
        <w:rPr>
          <w:highlight w:val="white"/>
        </w:rPr>
        <w:t>[2]</w:t>
      </w:r>
      <w:r>
        <w:rPr>
          <w:highlight w:val="white"/>
        </w:rPr>
        <w:tab/>
        <w:t xml:space="preserve">"NCAA College Football FBS Standings | NCAA.com", </w:t>
      </w:r>
      <w:r>
        <w:rPr>
          <w:i/>
          <w:highlight w:val="white"/>
        </w:rPr>
        <w:t>Ncaa.com</w:t>
      </w:r>
      <w:r>
        <w:rPr>
          <w:highlight w:val="white"/>
        </w:rPr>
        <w:t>, 2019. [Online].</w:t>
      </w:r>
      <w:r>
        <w:rPr>
          <w:highlight w:val="white"/>
        </w:rPr>
        <w:tab/>
      </w:r>
      <w:r>
        <w:rPr>
          <w:highlight w:val="white"/>
        </w:rPr>
        <w:tab/>
      </w:r>
      <w:r>
        <w:rPr>
          <w:highlight w:val="white"/>
        </w:rPr>
        <w:tab/>
        <w:t>Available: https://www.ncaa.com/standings/football/fbs. [Accessed: 31- Oct- 201</w:t>
      </w:r>
      <w:r>
        <w:rPr>
          <w:highlight w:val="white"/>
        </w:rPr>
        <w:t>9].</w:t>
      </w:r>
    </w:p>
    <w:p w14:paraId="55552910" w14:textId="77777777" w:rsidR="00220327" w:rsidRDefault="00B51942">
      <w:pPr>
        <w:rPr>
          <w:highlight w:val="white"/>
        </w:rPr>
      </w:pPr>
      <w:r>
        <w:rPr>
          <w:highlight w:val="white"/>
        </w:rPr>
        <w:t>[3]</w:t>
      </w:r>
      <w:r>
        <w:rPr>
          <w:highlight w:val="white"/>
        </w:rPr>
        <w:tab/>
        <w:t xml:space="preserve">"ESPN Football Power Index - 2019 - ESPN", </w:t>
      </w:r>
      <w:r>
        <w:rPr>
          <w:i/>
          <w:highlight w:val="white"/>
        </w:rPr>
        <w:t>ESPN.com</w:t>
      </w:r>
      <w:r>
        <w:rPr>
          <w:highlight w:val="white"/>
        </w:rPr>
        <w:t>, 2019. [Online]. Available:</w:t>
      </w:r>
      <w:r>
        <w:rPr>
          <w:highlight w:val="white"/>
        </w:rPr>
        <w:tab/>
      </w:r>
      <w:r>
        <w:rPr>
          <w:highlight w:val="white"/>
        </w:rPr>
        <w:tab/>
        <w:t>http://www.espn.com/college-football/statistics/teamratings. [Accessed: 14- Nov- 2019].</w:t>
      </w:r>
    </w:p>
    <w:p w14:paraId="3F151E6F" w14:textId="77777777" w:rsidR="00220327" w:rsidRDefault="00B51942">
      <w:pPr>
        <w:rPr>
          <w:highlight w:val="white"/>
        </w:rPr>
      </w:pPr>
      <w:r>
        <w:rPr>
          <w:highlight w:val="white"/>
        </w:rPr>
        <w:t>[4]</w:t>
      </w:r>
      <w:r>
        <w:rPr>
          <w:highlight w:val="white"/>
        </w:rPr>
        <w:tab/>
      </w:r>
      <w:r>
        <w:rPr>
          <w:i/>
          <w:highlight w:val="white"/>
        </w:rPr>
        <w:t>Bovada.lv</w:t>
      </w:r>
      <w:r>
        <w:rPr>
          <w:highlight w:val="white"/>
        </w:rPr>
        <w:t>, 2019. [Online]. Available: https://www.bovada.lv/sports/football. [Accessed:</w:t>
      </w:r>
      <w:r>
        <w:rPr>
          <w:highlight w:val="white"/>
        </w:rPr>
        <w:tab/>
      </w:r>
      <w:r>
        <w:rPr>
          <w:highlight w:val="white"/>
        </w:rPr>
        <w:tab/>
        <w:t>14- Nov- 2019].</w:t>
      </w:r>
    </w:p>
    <w:p w14:paraId="283D5713" w14:textId="77777777" w:rsidR="00220327" w:rsidRDefault="00B51942">
      <w:pPr>
        <w:rPr>
          <w:highlight w:val="white"/>
        </w:rPr>
      </w:pPr>
      <w:r>
        <w:rPr>
          <w:highlight w:val="white"/>
        </w:rPr>
        <w:t>[5]</w:t>
      </w:r>
      <w:r>
        <w:rPr>
          <w:highlight w:val="white"/>
        </w:rPr>
        <w:tab/>
        <w:t>J. Boyd, "Handicapping College Football Over/Under Lines: Key Numbers for Totals",</w:t>
      </w:r>
      <w:r>
        <w:rPr>
          <w:highlight w:val="white"/>
        </w:rPr>
        <w:tab/>
      </w:r>
      <w:r>
        <w:rPr>
          <w:highlight w:val="white"/>
        </w:rPr>
        <w:tab/>
      </w:r>
      <w:r>
        <w:rPr>
          <w:i/>
          <w:highlight w:val="white"/>
        </w:rPr>
        <w:t>Boyd's Bets</w:t>
      </w:r>
      <w:r>
        <w:rPr>
          <w:highlight w:val="white"/>
        </w:rPr>
        <w:t xml:space="preserve">, 2019. [Online]. Available: </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https://www.boydsbets.co</w:t>
      </w:r>
      <w:r>
        <w:rPr>
          <w:highlight w:val="white"/>
        </w:rPr>
        <w:t xml:space="preserve">m/key-numbers-for-college-football-totals/. [Accessed: 12- </w:t>
      </w:r>
      <w:r>
        <w:rPr>
          <w:highlight w:val="white"/>
        </w:rPr>
        <w:tab/>
      </w:r>
      <w:r>
        <w:rPr>
          <w:highlight w:val="white"/>
        </w:rPr>
        <w:tab/>
        <w:t>Nov- 2019].</w:t>
      </w:r>
    </w:p>
    <w:sectPr w:rsidR="00220327">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48CB4" w14:textId="77777777" w:rsidR="00B51942" w:rsidRDefault="00B51942">
      <w:pPr>
        <w:spacing w:line="240" w:lineRule="auto"/>
      </w:pPr>
      <w:r>
        <w:separator/>
      </w:r>
    </w:p>
  </w:endnote>
  <w:endnote w:type="continuationSeparator" w:id="0">
    <w:p w14:paraId="1BB36DD3" w14:textId="77777777" w:rsidR="00B51942" w:rsidRDefault="00B519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C712A" w14:textId="77777777" w:rsidR="00220327" w:rsidRDefault="00B51942">
    <w:pPr>
      <w:jc w:val="center"/>
    </w:pPr>
    <w:r>
      <w:fldChar w:fldCharType="begin"/>
    </w:r>
    <w:r>
      <w:instrText>PAGE</w:instrText>
    </w:r>
    <w:r w:rsidR="00D70CFE">
      <w:fldChar w:fldCharType="separate"/>
    </w:r>
    <w:r w:rsidR="00D70CFE">
      <w:rPr>
        <w:noProof/>
      </w:rPr>
      <w:t>8</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57ECE" w14:textId="77777777" w:rsidR="00B51942" w:rsidRDefault="00B51942">
      <w:pPr>
        <w:spacing w:line="240" w:lineRule="auto"/>
      </w:pPr>
      <w:r>
        <w:separator/>
      </w:r>
    </w:p>
  </w:footnote>
  <w:footnote w:type="continuationSeparator" w:id="0">
    <w:p w14:paraId="1C7F4D85" w14:textId="77777777" w:rsidR="00B51942" w:rsidRDefault="00B519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27"/>
    <w:rsid w:val="00220327"/>
    <w:rsid w:val="00B51942"/>
    <w:rsid w:val="00D7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5BB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2875</Words>
  <Characters>16391</Characters>
  <Application>Microsoft Macintosh Word</Application>
  <DocSecurity>0</DocSecurity>
  <Lines>136</Lines>
  <Paragraphs>38</Paragraphs>
  <ScaleCrop>false</ScaleCrop>
  <LinksUpToDate>false</LinksUpToDate>
  <CharactersWithSpaces>19228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Williams, Abby</cp:lastModifiedBy>
  <cp:revision>2</cp:revision>
  <dcterms:created xsi:type="dcterms:W3CDTF">2019-11-15T15:27:00Z</dcterms:created>
  <dcterms:modified xsi:type="dcterms:W3CDTF">2019-11-15T15:30:00Z</dcterms:modified>
</cp:coreProperties>
</file>