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ithub-repository-guide"/>
    <w:p>
      <w:pPr>
        <w:pStyle w:val="Heading1"/>
      </w:pPr>
      <w:r>
        <w:t xml:space="preserve">GitHub Repository Guide</w:t>
      </w:r>
    </w:p>
    <w:p>
      <w:pPr>
        <w:pStyle w:val="Compact"/>
        <w:numPr>
          <w:ilvl w:val="0"/>
          <w:numId w:val="1001"/>
        </w:numPr>
      </w:pPr>
      <w:r>
        <w:t xml:space="preserve">Code is stored in the repository.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</w:t>
      </w:r>
      <w:r>
        <w:t xml:space="preserve"> </w:t>
      </w:r>
      <w:r>
        <w:t xml:space="preserve">contains application code.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prisma/</w:t>
      </w:r>
      <w:r>
        <w:t xml:space="preserve"> </w:t>
      </w:r>
      <w:r>
        <w:t xml:space="preserve">contains database schema.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contains dependencies.</w:t>
      </w:r>
    </w:p>
    <w:p>
      <w:pPr>
        <w:pStyle w:val="Compact"/>
        <w:numPr>
          <w:ilvl w:val="0"/>
          <w:numId w:val="1001"/>
        </w:numPr>
      </w:pPr>
      <w:r>
        <w:t xml:space="preserve">Scripts: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(local),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(production).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