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dns-ssl-guide"/>
    <w:p>
      <w:pPr>
        <w:pStyle w:val="Heading1"/>
      </w:pPr>
      <w:r>
        <w:t xml:space="preserve">Domain DNS SSL Guide</w:t>
      </w:r>
    </w:p>
    <w:p>
      <w:pPr>
        <w:pStyle w:val="Compact"/>
        <w:numPr>
          <w:ilvl w:val="0"/>
          <w:numId w:val="1001"/>
        </w:numPr>
      </w:pPr>
      <w:r>
        <w:t xml:space="preserve">DNS is likely managed where the domain is registered.</w:t>
      </w:r>
    </w:p>
    <w:p>
      <w:pPr>
        <w:pStyle w:val="Compact"/>
        <w:numPr>
          <w:ilvl w:val="0"/>
          <w:numId w:val="1001"/>
        </w:numPr>
      </w:pPr>
      <w:r>
        <w:t xml:space="preserve">Point A/CNAME records to Vercel.</w:t>
      </w:r>
    </w:p>
    <w:p>
      <w:pPr>
        <w:pStyle w:val="Compact"/>
        <w:numPr>
          <w:ilvl w:val="0"/>
          <w:numId w:val="1001"/>
        </w:numPr>
      </w:pPr>
      <w:r>
        <w:t xml:space="preserve">Vercel handles SSL automatically.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2026-08-17T14:14:02Z</dcterms:created>
  <dcterms:modified xsi:type="dcterms:W3CDTF">2026-08-17T14:14:02Z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