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AmazonHelp AI Support Agent</w:t>
      </w:r>
    </w:p>
    <w:p>
      <w:pPr>
        <w:jc w:val="center"/>
      </w:pPr>
      <w:r>
        <w:rPr>
          <w:b/>
          <w:sz w:val="22"/>
        </w:rPr>
        <w:t>Hiver SDE Intern — Take-Home Assignment | Final Report</w:t>
      </w:r>
    </w:p>
    <w:p>
      <w:pPr>
        <w:jc w:val="center"/>
      </w:pPr>
      <w:r>
        <w:rPr>
          <w:i/>
        </w:rPr>
        <w:t>Selected brand: AmazonHelp  •  Dataset: Customer Support on Twitter</w:t>
      </w:r>
    </w:p>
    <w:p>
      <w:pPr>
        <w:pStyle w:val="Heading1"/>
      </w:pPr>
      <w:r>
        <w:t>1. Problem Framing</w:t>
      </w:r>
    </w:p>
    <w:p>
      <w:r>
        <w:t>The goal is to build an AI support agent for one brand that can classify an incoming customer message, retrieve historically similar support interactions, draft a reply grounded in those interactions, and decide whether to auto-handle or escalate to a human. This report focuses on AmazonHelp.</w:t>
      </w:r>
    </w:p>
    <w:p>
      <w:r>
        <w:t>For this project, “good” means: (1) the intent is identified consistently, (2) the reply is relevant and conservative, (3) the response is grounded in historical AmazonHelp behavior, and (4) sensitive or uncertain cases are routed to a human.</w:t>
      </w:r>
    </w:p>
    <w:p>
      <w:r>
        <w:t>Not built: production authentication, live Amazon order/account lookup, real-time policy verification, human-agent workflow integration, or a production-scale deployment. The assignment allows a subsample rather than requiring execution over the full dataset.</w:t>
      </w:r>
    </w:p>
    <w:p>
      <w:pPr>
        <w:pStyle w:val="Heading1"/>
      </w:pPr>
      <w:r>
        <w:t>2. System Design</w:t>
      </w:r>
    </w:p>
    <w:p>
      <w:r>
        <w:t>Pipeline:</w:t>
      </w:r>
    </w:p>
    <w:p>
      <w:r>
        <w:rPr>
          <w:b/>
        </w:rPr>
        <w:t>Customer Tweet → Intent Classification → Historical Retrieval → Reply Generation → Auto-handle / Escalate</w:t>
      </w:r>
    </w:p>
    <w:p>
      <w:pPr>
        <w:pStyle w:val="Heading2"/>
      </w:pPr>
      <w:r>
        <w:t>Intent classification</w:t>
      </w:r>
    </w:p>
    <w:p>
      <w:r>
        <w:t>A TF-IDF + Logistic Regression model predicts one of 12 intents: order_status, delivery_problem, refund_return, payment_billing, account_login, subscription_prime, product_issue, cancel_order, seller_issue, gift_card, promotion, and general_support.</w:t>
      </w:r>
    </w:p>
    <w:p>
      <w:pPr>
        <w:pStyle w:val="Heading2"/>
      </w:pPr>
      <w:r>
        <w:t>Historical retrieval</w:t>
      </w:r>
    </w:p>
    <w:p>
      <w:r>
        <w:t>TF-IDF similarity retrieves the top five customer messages from an AmazonHelp-linked historical corpus and returns their actual AmazonHelp replies as evidence.</w:t>
      </w:r>
    </w:p>
    <w:p>
      <w:pPr>
        <w:pStyle w:val="Heading2"/>
      </w:pPr>
      <w:r>
        <w:t>Reply generation</w:t>
      </w:r>
    </w:p>
    <w:p>
      <w:r>
        <w:t>The current implementation uses conservative intent-specific reply templates and a prompt specification for an LLM-based grounded generator. It avoids unsupported promises, refunds, dates, compensation, and account actions.</w:t>
      </w:r>
    </w:p>
    <w:p>
      <w:pPr>
        <w:pStyle w:val="Heading2"/>
      </w:pPr>
      <w:r>
        <w:t>Escalation</w:t>
      </w:r>
    </w:p>
    <w:p>
      <w:r>
        <w:t>The decision layer escalates sensitive payment/account-security cases and low-confidence classifications; routine cases can be auto-handled.</w:t>
      </w:r>
    </w:p>
    <w:p>
      <w:pPr>
        <w:pStyle w:val="Heading1"/>
      </w:pPr>
      <w:r>
        <w:t>3. Golden Evaluation Set</w:t>
      </w:r>
    </w:p>
    <w:p>
      <w:r>
        <w:t>A 200-example Golden Evaluation Set was created, within the assignment’s required 150–250 range. Each example contains the customer message, intent, action, and escalation reason. The current labels are an initial automated labeling pass and must be manually reviewed before submission; therefore the reported results should be treated as development results rather than a final independently hand-labelled benchmark.</w:t>
      </w:r>
    </w:p>
    <w:p>
      <w:pPr>
        <w:pStyle w:val="Heading1"/>
      </w:pPr>
      <w:r>
        <w:t>4. Results and Baselines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t>System</w:t>
            </w:r>
          </w:p>
        </w:tc>
        <w:tc>
          <w:tcPr>
            <w:tcW w:type="dxa" w:w="2074"/>
          </w:tcPr>
          <w:p>
            <w:r>
              <w:t>Accuracy</w:t>
            </w:r>
          </w:p>
        </w:tc>
        <w:tc>
          <w:tcPr>
            <w:tcW w:type="dxa" w:w="2074"/>
          </w:tcPr>
          <w:p>
            <w:r>
              <w:t>Precision</w:t>
            </w:r>
          </w:p>
        </w:tc>
        <w:tc>
          <w:tcPr>
            <w:tcW w:type="dxa" w:w="2074"/>
          </w:tcPr>
          <w:p>
            <w:r>
              <w:t>Recall</w:t>
            </w:r>
          </w:p>
        </w:tc>
        <w:tc>
          <w:tcPr>
            <w:tcW w:type="dxa" w:w="2074"/>
          </w:tcPr>
          <w:p>
            <w:r>
              <w:t>F1</w:t>
            </w:r>
          </w:p>
        </w:tc>
      </w:tr>
      <w:tr>
        <w:tc>
          <w:tcPr>
            <w:tcW w:type="dxa" w:w="2074"/>
          </w:tcPr>
          <w:p>
            <w:r>
              <w:t>Majority class</w:t>
            </w:r>
          </w:p>
        </w:tc>
        <w:tc>
          <w:tcPr>
            <w:tcW w:type="dxa" w:w="2074"/>
          </w:tcPr>
          <w:p>
            <w:r>
              <w:t>10.0%</w:t>
            </w:r>
          </w:p>
        </w:tc>
        <w:tc>
          <w:tcPr>
            <w:tcW w:type="dxa" w:w="2074"/>
          </w:tcPr>
          <w:p>
            <w:r>
              <w:t>1.0%</w:t>
            </w:r>
          </w:p>
        </w:tc>
        <w:tc>
          <w:tcPr>
            <w:tcW w:type="dxa" w:w="2074"/>
          </w:tcPr>
          <w:p>
            <w:r>
              <w:t>10.0%</w:t>
            </w:r>
          </w:p>
        </w:tc>
        <w:tc>
          <w:tcPr>
            <w:tcW w:type="dxa" w:w="2074"/>
          </w:tcPr>
          <w:p>
            <w:r>
              <w:t>1.8%</w:t>
            </w:r>
          </w:p>
        </w:tc>
      </w:tr>
      <w:tr>
        <w:tc>
          <w:tcPr>
            <w:tcW w:type="dxa" w:w="2074"/>
          </w:tcPr>
          <w:p>
            <w:r>
              <w:t>Keyword rules</w:t>
            </w:r>
          </w:p>
        </w:tc>
        <w:tc>
          <w:tcPr>
            <w:tcW w:type="dxa" w:w="2074"/>
          </w:tcPr>
          <w:p>
            <w:r>
              <w:t>100.0%</w:t>
            </w:r>
          </w:p>
        </w:tc>
        <w:tc>
          <w:tcPr>
            <w:tcW w:type="dxa" w:w="2074"/>
          </w:tcPr>
          <w:p>
            <w:r>
              <w:t>100.0%</w:t>
            </w:r>
          </w:p>
        </w:tc>
        <w:tc>
          <w:tcPr>
            <w:tcW w:type="dxa" w:w="2074"/>
          </w:tcPr>
          <w:p>
            <w:r>
              <w:t>100.0%</w:t>
            </w:r>
          </w:p>
        </w:tc>
        <w:tc>
          <w:tcPr>
            <w:tcW w:type="dxa" w:w="2074"/>
          </w:tcPr>
          <w:p>
            <w:r>
              <w:t>100.0%</w:t>
            </w:r>
          </w:p>
        </w:tc>
      </w:tr>
      <w:tr>
        <w:tc>
          <w:tcPr>
            <w:tcW w:type="dxa" w:w="2074"/>
          </w:tcPr>
          <w:p>
            <w:r>
              <w:t>TF-IDF + Logistic Regression</w:t>
            </w:r>
          </w:p>
        </w:tc>
        <w:tc>
          <w:tcPr>
            <w:tcW w:type="dxa" w:w="2074"/>
          </w:tcPr>
          <w:p>
            <w:r>
              <w:t>60.0%</w:t>
            </w:r>
          </w:p>
        </w:tc>
        <w:tc>
          <w:tcPr>
            <w:tcW w:type="dxa" w:w="2074"/>
          </w:tcPr>
          <w:p>
            <w:r>
              <w:t>70.8%</w:t>
            </w:r>
          </w:p>
        </w:tc>
        <w:tc>
          <w:tcPr>
            <w:tcW w:type="dxa" w:w="2074"/>
          </w:tcPr>
          <w:p>
            <w:r>
              <w:t>60.0%</w:t>
            </w:r>
          </w:p>
        </w:tc>
        <w:tc>
          <w:tcPr>
            <w:tcW w:type="dxa" w:w="2074"/>
          </w:tcPr>
          <w:p>
            <w:r>
              <w:t>59.1%</w:t>
            </w:r>
          </w:p>
        </w:tc>
      </w:tr>
    </w:tbl>
    <w:p>
      <w:r>
        <w:t>The keyword baseline’s 100% result is not considered valid evidence of generalization because related keyword rules were used to create the initial labels. This is explicitly treated as evaluation leakage, not as a model win. The majority baseline provides a trivial reference; TF-IDF + Logistic Regression is the meaningful initial learned baseline.</w:t>
      </w:r>
    </w:p>
    <w:p>
      <w:pPr>
        <w:pStyle w:val="Heading1"/>
      </w:pPr>
      <w:r>
        <w:t>5. Escalation Evaluation</w:t>
      </w:r>
    </w:p>
    <w:p>
      <w:r>
        <w:t>On the current evaluation split, the escalation layer achieved 22% accuracy, 22% precision, 100% recall, and 36.1% F1 for the escalation class. The result shows that the current 0.55 confidence threshold is too conservative and causes excessive escalation. This is a known development failure, not something hidden.</w:t>
      </w:r>
    </w:p>
    <w:p>
      <w:pPr>
        <w:pStyle w:val="Heading1"/>
      </w:pPr>
      <w:r>
        <w:t>6. Reply Quality Evaluation</w:t>
      </w:r>
    </w:p>
    <w:p>
      <w:r>
        <w:t>The evaluation harness includes a five-dimension LLM-as-judge rubric: relevance, groundedness, helpfulness, tone, and safety. The current automated proxy score was 1.0, but this is not presented as a human-quality score. Human/LLM agreement has not yet been measured. A final submission should have a human-rated subset of approximately 30–50 replies and report agreement using a suitable statistic.</w:t>
      </w:r>
    </w:p>
    <w:p>
      <w:pPr>
        <w:pStyle w:val="Heading1"/>
      </w:pPr>
      <w:r>
        <w:t>7. Top Failure Modes</w:t>
      </w:r>
    </w:p>
    <w:p>
      <w:r>
        <w:rPr>
          <w:b/>
        </w:rPr>
        <w:t xml:space="preserve">1. Intent ambiguity — </w:t>
      </w:r>
      <w:r>
        <w:t xml:space="preserve">Order-status and delivery-problem messages share vocabulary. </w:t>
      </w:r>
      <w:r>
        <w:rPr>
          <w:b/>
        </w:rPr>
        <w:t xml:space="preserve">Improvement: </w:t>
      </w:r>
      <w:r>
        <w:t>Add independent labels, semantic embeddings, and conversation context.</w:t>
      </w:r>
    </w:p>
    <w:p>
      <w:r>
        <w:rPr>
          <w:b/>
        </w:rPr>
        <w:t xml:space="preserve">2. Unnecessary escalation — </w:t>
      </w:r>
      <w:r>
        <w:t xml:space="preserve">Low-confidence fallback produces 100% escalation recall but only 22% precision. </w:t>
      </w:r>
      <w:r>
        <w:rPr>
          <w:b/>
        </w:rPr>
        <w:t xml:space="preserve">Improvement: </w:t>
      </w:r>
      <w:r>
        <w:t>Calibrate the threshold on a validation set and optimize automation coverage versus safety.</w:t>
      </w:r>
    </w:p>
    <w:p>
      <w:r>
        <w:rPr>
          <w:b/>
        </w:rPr>
        <w:t xml:space="preserve">3. Lexical retrieval mismatch — </w:t>
      </w:r>
      <w:r>
        <w:t xml:space="preserve">TF-IDF can retrieve word-similar but resolution-different cases. </w:t>
      </w:r>
      <w:r>
        <w:rPr>
          <w:b/>
        </w:rPr>
        <w:t xml:space="preserve">Improvement: </w:t>
      </w:r>
      <w:r>
        <w:t>Use embeddings, intent-aware filtering, and reranking.</w:t>
      </w:r>
    </w:p>
    <w:p>
      <w:r>
        <w:rPr>
          <w:b/>
        </w:rPr>
        <w:t xml:space="preserve">4. Partial grounding — </w:t>
      </w:r>
      <w:r>
        <w:t xml:space="preserve">Current reply generation relies on conservative templates rather than dynamic synthesis of evidence. </w:t>
      </w:r>
      <w:r>
        <w:rPr>
          <w:b/>
        </w:rPr>
        <w:t xml:space="preserve">Improvement: </w:t>
      </w:r>
      <w:r>
        <w:t>Use an LLM with retrieved examples and require evidence-backed claims.</w:t>
      </w:r>
    </w:p>
    <w:p>
      <w:r>
        <w:rPr>
          <w:b/>
        </w:rPr>
        <w:t xml:space="preserve">5. Evaluation leakage — </w:t>
      </w:r>
      <w:r>
        <w:t xml:space="preserve">Keyword baseline scored 100% because the labeling process used related rules. </w:t>
      </w:r>
      <w:r>
        <w:rPr>
          <w:b/>
        </w:rPr>
        <w:t xml:space="preserve">Improvement: </w:t>
      </w:r>
      <w:r>
        <w:t>Create an independently hand-labelled benchmark and rerun all baselines.</w:t>
      </w:r>
    </w:p>
    <w:p>
      <w:pPr>
        <w:pStyle w:val="Heading1"/>
      </w:pPr>
      <w:r>
        <w:t>8. What Is Misleading About My Headline Number?</w:t>
      </w:r>
    </w:p>
    <w:p>
      <w:r>
        <w:t>The most tempting headline is the 100% keyword-baseline accuracy, but it is misleading because the evaluation labels were initially generated using related keyword rules. That creates circularity: the baseline is close to the labeling mechanism. A second caveat is that the 60% learned-model accuracy comes from a small, initially auto-labelled benchmark, so it should not be interpreted as a production accuracy estimate. The final headline number should be recomputed after independent human labeling.</w:t>
      </w:r>
    </w:p>
    <w:p>
      <w:pPr>
        <w:pStyle w:val="Heading1"/>
      </w:pPr>
      <w:r>
        <w:t>9. What I Would Do With One More Week</w:t>
      </w:r>
    </w:p>
    <w:p>
      <w:pPr>
        <w:pStyle w:val="ListBullet"/>
      </w:pPr>
      <w:r>
        <w:t>Independently hand-label the full 200-example Golden Set and document the sampling/labeling protocol.</w:t>
      </w:r>
    </w:p>
    <w:p>
      <w:pPr>
        <w:pStyle w:val="ListBullet"/>
      </w:pPr>
      <w:r>
        <w:t>Expand the training corpus with independently verified intent labels and add conversation context.</w:t>
      </w:r>
    </w:p>
    <w:p>
      <w:pPr>
        <w:pStyle w:val="ListBullet"/>
      </w:pPr>
      <w:r>
        <w:t>Replace TF-IDF retrieval with sentence embeddings and intent-aware reranking.</w:t>
      </w:r>
    </w:p>
    <w:p>
      <w:pPr>
        <w:pStyle w:val="ListBullet"/>
      </w:pPr>
      <w:r>
        <w:t>Use an LLM for grounded response synthesis with explicit evidence constraints.</w:t>
      </w:r>
    </w:p>
    <w:p>
      <w:pPr>
        <w:pStyle w:val="ListBullet"/>
      </w:pPr>
      <w:r>
        <w:t>Calibrate the escalation threshold on a validation set and measure automation coverage, false-auto-handle rate, and escalation precision.</w:t>
      </w:r>
    </w:p>
    <w:p>
      <w:pPr>
        <w:pStyle w:val="ListBullet"/>
      </w:pPr>
      <w:r>
        <w:t>Human-rate 30–50 replies, calculate LLM-vs-human agreement, and rerun the final evaluation.</w:t>
      </w:r>
    </w:p>
    <w:p>
      <w:pPr>
        <w:pStyle w:val="ListBullet"/>
      </w:pPr>
      <w:r>
        <w:t>Package a reproducible README/demo that runs on a small subsample in under 15 minutes.</w:t>
      </w:r>
    </w:p>
    <w:p>
      <w:pPr>
        <w:pStyle w:val="Heading1"/>
      </w:pPr>
      <w:r>
        <w:t>10. Decision Log Summary</w:t>
      </w:r>
    </w:p>
    <w:p>
      <w:pPr>
        <w:pStyle w:val="ListNumber"/>
      </w:pPr>
      <w:r>
        <w:t>Selected AmazonHelp as the target brand.</w:t>
      </w:r>
    </w:p>
    <w:p>
      <w:pPr>
        <w:pStyle w:val="ListNumber"/>
      </w:pPr>
      <w:r>
        <w:t>Used a compact 12-intent taxonomy.</w:t>
      </w:r>
    </w:p>
    <w:p>
      <w:pPr>
        <w:pStyle w:val="ListNumber"/>
      </w:pPr>
      <w:r>
        <w:t>Created a 200-example Golden Set.</w:t>
      </w:r>
    </w:p>
    <w:p>
      <w:pPr>
        <w:pStyle w:val="ListNumber"/>
      </w:pPr>
      <w:r>
        <w:t>Started with TF-IDF + Logistic Regression for an explainable baseline.</w:t>
      </w:r>
    </w:p>
    <w:p>
      <w:pPr>
        <w:pStyle w:val="ListNumber"/>
      </w:pPr>
      <w:r>
        <w:t>Used TF-IDF retrieval for fast, reproducible historical evidence.</w:t>
      </w:r>
    </w:p>
    <w:p>
      <w:pPr>
        <w:pStyle w:val="ListNumber"/>
      </w:pPr>
      <w:r>
        <w:t>Kept reply generation conservative.</w:t>
      </w:r>
    </w:p>
    <w:p>
      <w:pPr>
        <w:pStyle w:val="ListNumber"/>
      </w:pPr>
      <w:r>
        <w:t>Separated classification, retrieval, generation, and escalation.</w:t>
      </w:r>
    </w:p>
    <w:p>
      <w:pPr>
        <w:pStyle w:val="ListNumber"/>
      </w:pPr>
      <w:r>
        <w:t>Started with a 0.55 confidence threshold for escalation.</w:t>
      </w:r>
    </w:p>
    <w:p>
      <w:pPr>
        <w:pStyle w:val="ListNumber"/>
      </w:pPr>
      <w:r>
        <w:t>Escalated sensitive payment/account-security cases.</w:t>
      </w:r>
    </w:p>
    <w:p>
      <w:pPr>
        <w:pStyle w:val="ListNumber"/>
      </w:pPr>
      <w:r>
        <w:t>Compared against a majority-class baseline.</w:t>
      </w:r>
    </w:p>
    <w:p>
      <w:pPr>
        <w:pStyle w:val="ListNumber"/>
      </w:pPr>
      <w:r>
        <w:t>Included a keyword baseline but flagged its leakage.</w:t>
      </w:r>
    </w:p>
    <w:p>
      <w:pPr>
        <w:pStyle w:val="ListNumber"/>
      </w:pPr>
      <w:r>
        <w:t>Created an LLM-as-judge rubric.</w:t>
      </w:r>
    </w:p>
    <w:p>
      <w:pPr>
        <w:pStyle w:val="ListNumber"/>
      </w:pPr>
      <w:r>
        <w:t>Did not claim human/LLM agreement without human labels.</w:t>
      </w:r>
    </w:p>
    <w:p>
      <w:pPr>
        <w:pStyle w:val="ListNumber"/>
      </w:pPr>
      <w:r>
        <w:t>Made failure analysis a first-class evaluation artifact.</w:t>
      </w:r>
    </w:p>
    <w:p>
      <w:pPr>
        <w:pStyle w:val="ListNumber"/>
      </w:pPr>
      <w:r>
        <w:t>Used manageable subsamples for reproducibility.</w:t>
      </w:r>
    </w:p>
    <w:p>
      <w:pPr>
        <w:pStyle w:val="Heading1"/>
      </w:pPr>
      <w:r>
        <w:t>11. Conclusion</w:t>
      </w:r>
    </w:p>
    <w:p>
      <w:r>
        <w:t>The project now has an end-to-end prototype covering intent classification, historical support retrieval, reply generation, escalation, and evaluation. The strongest engineering lesson from the current results is that evaluation quality matters as much as model construction: the initial keyword baseline exposes label leakage, while the escalation results expose an overly conservative safety threshold. These weaknesses are documented and provide a clear path to a more trustworthy final benchmark.</w:t>
      </w:r>
    </w:p>
    <w:p/>
    <w:p>
      <w:pPr>
        <w:jc w:val="center"/>
      </w:pPr>
      <w:r>
        <w:rPr>
          <w:i/>
        </w:rPr>
        <w:t>Prepared for Hiver SDE Intern Take-Home Assignment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