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A168" w14:textId="77777777" w:rsidR="00347A55" w:rsidRDefault="00000000">
      <w:pPr>
        <w:spacing w:after="40"/>
      </w:pPr>
      <w:r>
        <w:rPr>
          <w:rFonts w:ascii="Calibri" w:eastAsia="Calibri" w:hAnsi="Calibri" w:cs="Calibri"/>
          <w:b/>
          <w:bCs/>
          <w:color w:val="1A4D7C"/>
          <w:sz w:val="34"/>
          <w:szCs w:val="34"/>
        </w:rPr>
        <w:t>Automation Selection Rationale</w:t>
      </w:r>
    </w:p>
    <w:p w14:paraId="3AE78FFE" w14:textId="6DD165D9" w:rsidR="00347A55" w:rsidRDefault="00000000" w:rsidP="003862BF">
      <w:pPr>
        <w:spacing w:after="60"/>
      </w:pPr>
      <w:r>
        <w:rPr>
          <w:rFonts w:ascii="Calibri" w:eastAsia="Calibri" w:hAnsi="Calibri" w:cs="Calibri"/>
          <w:i/>
          <w:iCs/>
          <w:color w:val="555555"/>
        </w:rPr>
        <w:t>Why these test cases were automated — and why the rest were deliberately not</w:t>
      </w:r>
    </w:p>
    <w:p w14:paraId="608BD013" w14:textId="77777777" w:rsidR="00347A55" w:rsidRDefault="00347A55">
      <w:pPr>
        <w:pBdr>
          <w:bottom w:val="single" w:sz="8" w:space="4" w:color="1A4D7C"/>
        </w:pBdr>
        <w:spacing w:after="200"/>
      </w:pPr>
    </w:p>
    <w:p w14:paraId="6EBA49B5" w14:textId="77777777" w:rsidR="00347A55" w:rsidRDefault="00000000">
      <w:pPr>
        <w:pStyle w:val="Heading1"/>
        <w:spacing w:before="280" w:after="120"/>
      </w:pPr>
      <w:r>
        <w:rPr>
          <w:rFonts w:ascii="Calibri" w:eastAsia="Calibri" w:hAnsi="Calibri" w:cs="Calibri"/>
          <w:b/>
          <w:bCs/>
          <w:color w:val="1A4D7C"/>
          <w:sz w:val="26"/>
          <w:szCs w:val="26"/>
        </w:rPr>
        <w:t>1. Current State (Verified by Test Execution)</w:t>
      </w:r>
    </w:p>
    <w:p w14:paraId="7BAA98AA" w14:textId="77777777" w:rsidR="00347A55" w:rsidRDefault="00000000">
      <w:pPr>
        <w:spacing w:after="140" w:line="276" w:lineRule="auto"/>
      </w:pPr>
      <w:r>
        <w:rPr>
          <w:rFonts w:ascii="Calibri" w:eastAsia="Calibri" w:hAnsi="Calibri" w:cs="Calibri"/>
          <w:color w:val="222222"/>
          <w:sz w:val="21"/>
          <w:szCs w:val="21"/>
        </w:rPr>
        <w:t>Numbers below are drawn from the automation suite's actual, repeatedly-verified test run output — not just the static manual test sheet — since the automated suite evolved slightly beyond the original selection during implementation (see Section 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347A55" w14:paraId="54B6C4E4" w14:textId="77777777">
        <w:tblPrEx>
          <w:tblCellMar>
            <w:top w:w="0" w:type="dxa"/>
            <w:bottom w:w="0" w:type="dxa"/>
          </w:tblCellMar>
        </w:tblPrEx>
        <w:trPr>
          <w:tblHeader/>
        </w:trPr>
        <w:tc>
          <w:tcPr>
            <w:tcW w:w="4750" w:type="dxa"/>
            <w:shd w:val="clear" w:color="auto" w:fill="1A4D7C"/>
            <w:tcMar>
              <w:top w:w="80" w:type="dxa"/>
              <w:left w:w="100" w:type="dxa"/>
              <w:bottom w:w="80" w:type="dxa"/>
              <w:right w:w="100" w:type="dxa"/>
            </w:tcMar>
          </w:tcPr>
          <w:p w14:paraId="5AAFB1F5" w14:textId="77777777" w:rsidR="00347A55" w:rsidRDefault="00000000">
            <w:r>
              <w:rPr>
                <w:rFonts w:ascii="Calibri" w:eastAsia="Calibri" w:hAnsi="Calibri" w:cs="Calibri"/>
                <w:b/>
                <w:bCs/>
                <w:color w:val="FFFFFF"/>
                <w:sz w:val="19"/>
                <w:szCs w:val="19"/>
              </w:rPr>
              <w:t>Metric</w:t>
            </w:r>
          </w:p>
        </w:tc>
        <w:tc>
          <w:tcPr>
            <w:tcW w:w="4750" w:type="dxa"/>
            <w:shd w:val="clear" w:color="auto" w:fill="1A4D7C"/>
            <w:tcMar>
              <w:top w:w="80" w:type="dxa"/>
              <w:left w:w="100" w:type="dxa"/>
              <w:bottom w:w="80" w:type="dxa"/>
              <w:right w:w="100" w:type="dxa"/>
            </w:tcMar>
          </w:tcPr>
          <w:p w14:paraId="214AFC1E" w14:textId="77777777" w:rsidR="00347A55" w:rsidRDefault="00000000">
            <w:r>
              <w:rPr>
                <w:rFonts w:ascii="Calibri" w:eastAsia="Calibri" w:hAnsi="Calibri" w:cs="Calibri"/>
                <w:b/>
                <w:bCs/>
                <w:color w:val="FFFFFF"/>
                <w:sz w:val="19"/>
                <w:szCs w:val="19"/>
              </w:rPr>
              <w:t>Value</w:t>
            </w:r>
          </w:p>
        </w:tc>
      </w:tr>
      <w:tr w:rsidR="00347A55" w14:paraId="4A89351E" w14:textId="77777777">
        <w:tblPrEx>
          <w:tblCellMar>
            <w:top w:w="0" w:type="dxa"/>
            <w:bottom w:w="0" w:type="dxa"/>
          </w:tblCellMar>
        </w:tblPrEx>
        <w:tc>
          <w:tcPr>
            <w:tcW w:w="4750" w:type="dxa"/>
            <w:tcMar>
              <w:top w:w="80" w:type="dxa"/>
              <w:left w:w="100" w:type="dxa"/>
              <w:bottom w:w="80" w:type="dxa"/>
              <w:right w:w="100" w:type="dxa"/>
            </w:tcMar>
          </w:tcPr>
          <w:p w14:paraId="02AC4F4D" w14:textId="77777777" w:rsidR="00347A55" w:rsidRDefault="00000000">
            <w:r>
              <w:rPr>
                <w:rFonts w:ascii="Calibri" w:eastAsia="Calibri" w:hAnsi="Calibri" w:cs="Calibri"/>
                <w:color w:val="222222"/>
                <w:sz w:val="19"/>
                <w:szCs w:val="19"/>
              </w:rPr>
              <w:t>Manual test cases documented</w:t>
            </w:r>
          </w:p>
        </w:tc>
        <w:tc>
          <w:tcPr>
            <w:tcW w:w="4750" w:type="dxa"/>
            <w:tcMar>
              <w:top w:w="80" w:type="dxa"/>
              <w:left w:w="100" w:type="dxa"/>
              <w:bottom w:w="80" w:type="dxa"/>
              <w:right w:w="100" w:type="dxa"/>
            </w:tcMar>
          </w:tcPr>
          <w:p w14:paraId="276AE2BD" w14:textId="77777777" w:rsidR="00347A55" w:rsidRDefault="00000000">
            <w:r>
              <w:rPr>
                <w:rFonts w:ascii="Calibri" w:eastAsia="Calibri" w:hAnsi="Calibri" w:cs="Calibri"/>
                <w:b/>
                <w:bCs/>
                <w:color w:val="222222"/>
                <w:sz w:val="19"/>
                <w:szCs w:val="19"/>
              </w:rPr>
              <w:t>76</w:t>
            </w:r>
          </w:p>
        </w:tc>
      </w:tr>
      <w:tr w:rsidR="00347A55" w14:paraId="66B7E97D" w14:textId="77777777">
        <w:tblPrEx>
          <w:tblCellMar>
            <w:top w:w="0" w:type="dxa"/>
            <w:bottom w:w="0" w:type="dxa"/>
          </w:tblCellMar>
        </w:tblPrEx>
        <w:tc>
          <w:tcPr>
            <w:tcW w:w="4750" w:type="dxa"/>
            <w:shd w:val="clear" w:color="auto" w:fill="F2F6FA"/>
            <w:tcMar>
              <w:top w:w="80" w:type="dxa"/>
              <w:left w:w="100" w:type="dxa"/>
              <w:bottom w:w="80" w:type="dxa"/>
              <w:right w:w="100" w:type="dxa"/>
            </w:tcMar>
          </w:tcPr>
          <w:p w14:paraId="0CC7A32F" w14:textId="77777777" w:rsidR="00347A55" w:rsidRDefault="00000000">
            <w:r>
              <w:rPr>
                <w:rFonts w:ascii="Calibri" w:eastAsia="Calibri" w:hAnsi="Calibri" w:cs="Calibri"/>
                <w:color w:val="222222"/>
                <w:sz w:val="19"/>
                <w:szCs w:val="19"/>
              </w:rPr>
              <w:t>Automated test scenarios</w:t>
            </w:r>
          </w:p>
        </w:tc>
        <w:tc>
          <w:tcPr>
            <w:tcW w:w="4750" w:type="dxa"/>
            <w:shd w:val="clear" w:color="auto" w:fill="F2F6FA"/>
            <w:tcMar>
              <w:top w:w="80" w:type="dxa"/>
              <w:left w:w="100" w:type="dxa"/>
              <w:bottom w:w="80" w:type="dxa"/>
              <w:right w:w="100" w:type="dxa"/>
            </w:tcMar>
          </w:tcPr>
          <w:p w14:paraId="61CBE909" w14:textId="77777777" w:rsidR="00347A55" w:rsidRDefault="00000000">
            <w:r>
              <w:rPr>
                <w:rFonts w:ascii="Calibri" w:eastAsia="Calibri" w:hAnsi="Calibri" w:cs="Calibri"/>
                <w:b/>
                <w:bCs/>
                <w:color w:val="222222"/>
                <w:sz w:val="19"/>
                <w:szCs w:val="19"/>
              </w:rPr>
              <w:t>45</w:t>
            </w:r>
          </w:p>
        </w:tc>
      </w:tr>
      <w:tr w:rsidR="00347A55" w14:paraId="64D70330" w14:textId="77777777">
        <w:tblPrEx>
          <w:tblCellMar>
            <w:top w:w="0" w:type="dxa"/>
            <w:bottom w:w="0" w:type="dxa"/>
          </w:tblCellMar>
        </w:tblPrEx>
        <w:tc>
          <w:tcPr>
            <w:tcW w:w="4750" w:type="dxa"/>
            <w:tcMar>
              <w:top w:w="80" w:type="dxa"/>
              <w:left w:w="100" w:type="dxa"/>
              <w:bottom w:w="80" w:type="dxa"/>
              <w:right w:w="100" w:type="dxa"/>
            </w:tcMar>
          </w:tcPr>
          <w:p w14:paraId="38855DD7" w14:textId="77777777" w:rsidR="00347A55" w:rsidRDefault="00000000">
            <w:r>
              <w:rPr>
                <w:rFonts w:ascii="Calibri" w:eastAsia="Calibri" w:hAnsi="Calibri" w:cs="Calibri"/>
                <w:color w:val="222222"/>
                <w:sz w:val="19"/>
                <w:szCs w:val="19"/>
              </w:rPr>
              <w:t>Total automated test runs (45 scenarios × 3 browsers)</w:t>
            </w:r>
          </w:p>
        </w:tc>
        <w:tc>
          <w:tcPr>
            <w:tcW w:w="4750" w:type="dxa"/>
            <w:tcMar>
              <w:top w:w="80" w:type="dxa"/>
              <w:left w:w="100" w:type="dxa"/>
              <w:bottom w:w="80" w:type="dxa"/>
              <w:right w:w="100" w:type="dxa"/>
            </w:tcMar>
          </w:tcPr>
          <w:p w14:paraId="6F6DDD7D" w14:textId="77777777" w:rsidR="00347A55" w:rsidRDefault="00000000">
            <w:r>
              <w:rPr>
                <w:rFonts w:ascii="Calibri" w:eastAsia="Calibri" w:hAnsi="Calibri" w:cs="Calibri"/>
                <w:b/>
                <w:bCs/>
                <w:color w:val="222222"/>
                <w:sz w:val="19"/>
                <w:szCs w:val="19"/>
              </w:rPr>
              <w:t>135</w:t>
            </w:r>
          </w:p>
        </w:tc>
      </w:tr>
      <w:tr w:rsidR="00347A55" w14:paraId="34B806D1" w14:textId="77777777">
        <w:tblPrEx>
          <w:tblCellMar>
            <w:top w:w="0" w:type="dxa"/>
            <w:bottom w:w="0" w:type="dxa"/>
          </w:tblCellMar>
        </w:tblPrEx>
        <w:tc>
          <w:tcPr>
            <w:tcW w:w="4750" w:type="dxa"/>
            <w:shd w:val="clear" w:color="auto" w:fill="F2F6FA"/>
            <w:tcMar>
              <w:top w:w="80" w:type="dxa"/>
              <w:left w:w="100" w:type="dxa"/>
              <w:bottom w:w="80" w:type="dxa"/>
              <w:right w:w="100" w:type="dxa"/>
            </w:tcMar>
          </w:tcPr>
          <w:p w14:paraId="27A22F2A" w14:textId="77777777" w:rsidR="00347A55" w:rsidRDefault="00000000">
            <w:r>
              <w:rPr>
                <w:rFonts w:ascii="Calibri" w:eastAsia="Calibri" w:hAnsi="Calibri" w:cs="Calibri"/>
                <w:color w:val="222222"/>
                <w:sz w:val="19"/>
                <w:szCs w:val="19"/>
              </w:rPr>
              <w:t>Passing runs (correct, working behaviour confirmed)</w:t>
            </w:r>
          </w:p>
        </w:tc>
        <w:tc>
          <w:tcPr>
            <w:tcW w:w="4750" w:type="dxa"/>
            <w:shd w:val="clear" w:color="auto" w:fill="F2F6FA"/>
            <w:tcMar>
              <w:top w:w="80" w:type="dxa"/>
              <w:left w:w="100" w:type="dxa"/>
              <w:bottom w:w="80" w:type="dxa"/>
              <w:right w:w="100" w:type="dxa"/>
            </w:tcMar>
          </w:tcPr>
          <w:p w14:paraId="13F83939" w14:textId="77777777" w:rsidR="00347A55" w:rsidRDefault="00000000">
            <w:r>
              <w:rPr>
                <w:rFonts w:ascii="Calibri" w:eastAsia="Calibri" w:hAnsi="Calibri" w:cs="Calibri"/>
                <w:b/>
                <w:bCs/>
                <w:color w:val="222222"/>
                <w:sz w:val="19"/>
                <w:szCs w:val="19"/>
              </w:rPr>
              <w:t>90</w:t>
            </w:r>
          </w:p>
        </w:tc>
      </w:tr>
      <w:tr w:rsidR="00347A55" w14:paraId="1798C8A5" w14:textId="77777777">
        <w:tblPrEx>
          <w:tblCellMar>
            <w:top w:w="0" w:type="dxa"/>
            <w:bottom w:w="0" w:type="dxa"/>
          </w:tblCellMar>
        </w:tblPrEx>
        <w:tc>
          <w:tcPr>
            <w:tcW w:w="4750" w:type="dxa"/>
            <w:tcMar>
              <w:top w:w="80" w:type="dxa"/>
              <w:left w:w="100" w:type="dxa"/>
              <w:bottom w:w="80" w:type="dxa"/>
              <w:right w:w="100" w:type="dxa"/>
            </w:tcMar>
          </w:tcPr>
          <w:p w14:paraId="12EA41DE" w14:textId="77777777" w:rsidR="00347A55" w:rsidRDefault="00000000">
            <w:r>
              <w:rPr>
                <w:rFonts w:ascii="Calibri" w:eastAsia="Calibri" w:hAnsi="Calibri" w:cs="Calibri"/>
                <w:color w:val="222222"/>
                <w:sz w:val="19"/>
                <w:szCs w:val="19"/>
              </w:rPr>
              <w:t>Failing runs (confirmed defects, by design)</w:t>
            </w:r>
          </w:p>
        </w:tc>
        <w:tc>
          <w:tcPr>
            <w:tcW w:w="4750" w:type="dxa"/>
            <w:tcMar>
              <w:top w:w="80" w:type="dxa"/>
              <w:left w:w="100" w:type="dxa"/>
              <w:bottom w:w="80" w:type="dxa"/>
              <w:right w:w="100" w:type="dxa"/>
            </w:tcMar>
          </w:tcPr>
          <w:p w14:paraId="3FED8F21" w14:textId="77777777" w:rsidR="00347A55" w:rsidRDefault="00000000">
            <w:r>
              <w:rPr>
                <w:rFonts w:ascii="Calibri" w:eastAsia="Calibri" w:hAnsi="Calibri" w:cs="Calibri"/>
                <w:b/>
                <w:bCs/>
                <w:color w:val="222222"/>
                <w:sz w:val="19"/>
                <w:szCs w:val="19"/>
              </w:rPr>
              <w:t>45</w:t>
            </w:r>
          </w:p>
        </w:tc>
      </w:tr>
      <w:tr w:rsidR="00347A55" w14:paraId="0A07A04F" w14:textId="77777777">
        <w:tblPrEx>
          <w:tblCellMar>
            <w:top w:w="0" w:type="dxa"/>
            <w:bottom w:w="0" w:type="dxa"/>
          </w:tblCellMar>
        </w:tblPrEx>
        <w:tc>
          <w:tcPr>
            <w:tcW w:w="4750" w:type="dxa"/>
            <w:shd w:val="clear" w:color="auto" w:fill="F2F6FA"/>
            <w:tcMar>
              <w:top w:w="80" w:type="dxa"/>
              <w:left w:w="100" w:type="dxa"/>
              <w:bottom w:w="80" w:type="dxa"/>
              <w:right w:w="100" w:type="dxa"/>
            </w:tcMar>
          </w:tcPr>
          <w:p w14:paraId="5B562BBF" w14:textId="77777777" w:rsidR="00347A55" w:rsidRDefault="00000000">
            <w:r>
              <w:rPr>
                <w:rFonts w:ascii="Calibri" w:eastAsia="Calibri" w:hAnsi="Calibri" w:cs="Calibri"/>
                <w:color w:val="222222"/>
                <w:sz w:val="19"/>
                <w:szCs w:val="19"/>
              </w:rPr>
              <w:t>Distinct confirmed defects covered by automation</w:t>
            </w:r>
          </w:p>
        </w:tc>
        <w:tc>
          <w:tcPr>
            <w:tcW w:w="4750" w:type="dxa"/>
            <w:shd w:val="clear" w:color="auto" w:fill="F2F6FA"/>
            <w:tcMar>
              <w:top w:w="80" w:type="dxa"/>
              <w:left w:w="100" w:type="dxa"/>
              <w:bottom w:w="80" w:type="dxa"/>
              <w:right w:w="100" w:type="dxa"/>
            </w:tcMar>
          </w:tcPr>
          <w:p w14:paraId="13D91502" w14:textId="77777777" w:rsidR="00347A55" w:rsidRDefault="00000000">
            <w:r>
              <w:rPr>
                <w:rFonts w:ascii="Calibri" w:eastAsia="Calibri" w:hAnsi="Calibri" w:cs="Calibri"/>
                <w:b/>
                <w:bCs/>
                <w:color w:val="222222"/>
                <w:sz w:val="19"/>
                <w:szCs w:val="19"/>
              </w:rPr>
              <w:t>15</w:t>
            </w:r>
          </w:p>
        </w:tc>
      </w:tr>
      <w:tr w:rsidR="00347A55" w14:paraId="248C3F2F" w14:textId="77777777">
        <w:tblPrEx>
          <w:tblCellMar>
            <w:top w:w="0" w:type="dxa"/>
            <w:bottom w:w="0" w:type="dxa"/>
          </w:tblCellMar>
        </w:tblPrEx>
        <w:tc>
          <w:tcPr>
            <w:tcW w:w="4750" w:type="dxa"/>
            <w:tcMar>
              <w:top w:w="80" w:type="dxa"/>
              <w:left w:w="100" w:type="dxa"/>
              <w:bottom w:w="80" w:type="dxa"/>
              <w:right w:w="100" w:type="dxa"/>
            </w:tcMar>
          </w:tcPr>
          <w:p w14:paraId="619D9B1D" w14:textId="77777777" w:rsidR="00347A55" w:rsidRDefault="00000000">
            <w:r>
              <w:rPr>
                <w:rFonts w:ascii="Calibri" w:eastAsia="Calibri" w:hAnsi="Calibri" w:cs="Calibri"/>
                <w:color w:val="222222"/>
                <w:sz w:val="19"/>
                <w:szCs w:val="19"/>
              </w:rPr>
              <w:t>Automation coverage of documented test cases</w:t>
            </w:r>
          </w:p>
        </w:tc>
        <w:tc>
          <w:tcPr>
            <w:tcW w:w="4750" w:type="dxa"/>
            <w:tcMar>
              <w:top w:w="80" w:type="dxa"/>
              <w:left w:w="100" w:type="dxa"/>
              <w:bottom w:w="80" w:type="dxa"/>
              <w:right w:w="100" w:type="dxa"/>
            </w:tcMar>
          </w:tcPr>
          <w:p w14:paraId="76548C03" w14:textId="77777777" w:rsidR="00347A55" w:rsidRDefault="00000000">
            <w:r>
              <w:rPr>
                <w:rFonts w:ascii="Calibri" w:eastAsia="Calibri" w:hAnsi="Calibri" w:cs="Calibri"/>
                <w:b/>
                <w:bCs/>
                <w:color w:val="222222"/>
                <w:sz w:val="19"/>
                <w:szCs w:val="19"/>
              </w:rPr>
              <w:t>~54%</w:t>
            </w:r>
          </w:p>
        </w:tc>
      </w:tr>
    </w:tbl>
    <w:p w14:paraId="3360BDB9" w14:textId="77777777" w:rsidR="00347A55" w:rsidRDefault="00000000">
      <w:pPr>
        <w:pStyle w:val="Heading1"/>
        <w:spacing w:before="280" w:after="120"/>
      </w:pPr>
      <w:r>
        <w:rPr>
          <w:rFonts w:ascii="Calibri" w:eastAsia="Calibri" w:hAnsi="Calibri" w:cs="Calibri"/>
          <w:b/>
          <w:bCs/>
          <w:color w:val="1A4D7C"/>
          <w:sz w:val="26"/>
          <w:szCs w:val="26"/>
        </w:rPr>
        <w:t>2. The Four Selection Criteria</w:t>
      </w:r>
    </w:p>
    <w:p w14:paraId="215B3F45"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 xml:space="preserve">Priority / business risk first — </w:t>
      </w:r>
      <w:proofErr w:type="spellStart"/>
      <w:r>
        <w:rPr>
          <w:rFonts w:ascii="Calibri" w:eastAsia="Calibri" w:hAnsi="Calibri" w:cs="Calibri"/>
          <w:color w:val="222222"/>
          <w:sz w:val="21"/>
          <w:szCs w:val="21"/>
        </w:rPr>
        <w:t>every</w:t>
      </w:r>
      <w:proofErr w:type="spellEnd"/>
      <w:r>
        <w:rPr>
          <w:rFonts w:ascii="Calibri" w:eastAsia="Calibri" w:hAnsi="Calibri" w:cs="Calibri"/>
          <w:color w:val="222222"/>
          <w:sz w:val="21"/>
          <w:szCs w:val="21"/>
        </w:rPr>
        <w:t xml:space="preserve"> </w:t>
      </w:r>
      <w:proofErr w:type="gramStart"/>
      <w:r>
        <w:rPr>
          <w:rFonts w:ascii="Calibri" w:eastAsia="Calibri" w:hAnsi="Calibri" w:cs="Calibri"/>
          <w:color w:val="222222"/>
          <w:sz w:val="21"/>
          <w:szCs w:val="21"/>
        </w:rPr>
        <w:t>High priority</w:t>
      </w:r>
      <w:proofErr w:type="gramEnd"/>
      <w:r>
        <w:rPr>
          <w:rFonts w:ascii="Calibri" w:eastAsia="Calibri" w:hAnsi="Calibri" w:cs="Calibri"/>
          <w:color w:val="222222"/>
          <w:sz w:val="21"/>
          <w:szCs w:val="21"/>
        </w:rPr>
        <w:t xml:space="preserve"> case (login, checkout, cart entry points, access control) was automated by default, since these are revenue- or access-blocking flows.</w:t>
      </w:r>
    </w:p>
    <w:p w14:paraId="44970478"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Automate the pattern once, not per account — when the identical underlying check repeats across multiple user accounts (logout, about page, reset state, navigation), it is automated once, under the account where it was first confirmed, and every other occurrence is cross-referenced as a documented duplicate.</w:t>
      </w:r>
    </w:p>
    <w:p w14:paraId="70935797"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Assertion reliability — cases with a crisp, deterministic expected value (exact text, exact URL, exact count, a measurable time) were prioritised. Cases needing subjective visual judgment or vague, non-reproducible timing were left manual.</w:t>
      </w:r>
    </w:p>
    <w:p w14:paraId="5F94408D"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Evidence value — defects with the clearest business impact (checkout blockers, pricing integrity, cart functionality) were prioritised for automation, since these are the findings most worth permanent, provable regression protection.</w:t>
      </w:r>
    </w:p>
    <w:p w14:paraId="557D556F" w14:textId="77777777" w:rsidR="00347A55" w:rsidRDefault="00000000">
      <w:pPr>
        <w:pStyle w:val="Heading1"/>
        <w:spacing w:before="280" w:after="120"/>
      </w:pPr>
      <w:r>
        <w:rPr>
          <w:rFonts w:ascii="Calibri" w:eastAsia="Calibri" w:hAnsi="Calibri" w:cs="Calibri"/>
          <w:b/>
          <w:bCs/>
          <w:color w:val="1A4D7C"/>
          <w:sz w:val="26"/>
          <w:szCs w:val="26"/>
        </w:rPr>
        <w:t>3. Why 45 Scenarios, Not the Original 41</w:t>
      </w:r>
    </w:p>
    <w:p w14:paraId="444378F6" w14:textId="77777777" w:rsidR="00347A55" w:rsidRDefault="00000000">
      <w:pPr>
        <w:spacing w:after="140" w:line="276" w:lineRule="auto"/>
      </w:pPr>
      <w:r>
        <w:rPr>
          <w:rFonts w:ascii="Calibri" w:eastAsia="Calibri" w:hAnsi="Calibri" w:cs="Calibri"/>
          <w:color w:val="222222"/>
          <w:sz w:val="21"/>
          <w:szCs w:val="21"/>
        </w:rPr>
        <w:t>41 cases were marked Automate = Y in the manual test documentation. During implementation, review of the automated suite identified two adjustments, both applied transparently rather than silently:</w:t>
      </w:r>
    </w:p>
    <w:p w14:paraId="6B8455F3"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TC-STD-15 (PDF receipt download) was added after initial documentation review, using Playwright's native download-event handling — a genuinely testable feature that had been marked for manual verification first.</w:t>
      </w:r>
    </w:p>
    <w:p w14:paraId="4EE22A49"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TC-VIS-12 (inventory vs. detail-page price consistency) was reframed during review from “detail page is correct, no bug” to “inventory and detail page disagree on price for the same product” — the same underlying pricing defect as TC-VIS-11, viewed from a second angle, and a stronger, assumption-free way to prove the defect without needing a separately-verified “true” price value.</w:t>
      </w:r>
    </w:p>
    <w:p w14:paraId="557D18A5"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Three further supporting checks were added inside existing files for stronger coverage without new manual test IDs (e.g. verifying the cart lists exactly the items added, and that Continue Shopping does not alter cart contents).</w:t>
      </w:r>
    </w:p>
    <w:p w14:paraId="3B2761E3" w14:textId="77777777" w:rsidR="00347A55" w:rsidRDefault="00000000">
      <w:pPr>
        <w:pStyle w:val="Heading1"/>
        <w:spacing w:before="280" w:after="120"/>
      </w:pPr>
      <w:r>
        <w:rPr>
          <w:rFonts w:ascii="Calibri" w:eastAsia="Calibri" w:hAnsi="Calibri" w:cs="Calibri"/>
          <w:b/>
          <w:bCs/>
          <w:color w:val="1A4D7C"/>
          <w:sz w:val="26"/>
          <w:szCs w:val="26"/>
        </w:rPr>
        <w:lastRenderedPageBreak/>
        <w:t>4. What Was NOT Automated — By Reason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900"/>
        <w:gridCol w:w="5400"/>
      </w:tblGrid>
      <w:tr w:rsidR="00347A55" w14:paraId="7B3ED2D4" w14:textId="77777777">
        <w:tblPrEx>
          <w:tblCellMar>
            <w:top w:w="0" w:type="dxa"/>
            <w:bottom w:w="0" w:type="dxa"/>
          </w:tblCellMar>
        </w:tblPrEx>
        <w:trPr>
          <w:tblHeader/>
        </w:trPr>
        <w:tc>
          <w:tcPr>
            <w:tcW w:w="3200" w:type="dxa"/>
            <w:shd w:val="clear" w:color="auto" w:fill="1A4D7C"/>
            <w:tcMar>
              <w:top w:w="80" w:type="dxa"/>
              <w:left w:w="100" w:type="dxa"/>
              <w:bottom w:w="80" w:type="dxa"/>
              <w:right w:w="100" w:type="dxa"/>
            </w:tcMar>
          </w:tcPr>
          <w:p w14:paraId="70E3032D" w14:textId="77777777" w:rsidR="00347A55" w:rsidRDefault="00000000">
            <w:r>
              <w:rPr>
                <w:rFonts w:ascii="Calibri" w:eastAsia="Calibri" w:hAnsi="Calibri" w:cs="Calibri"/>
                <w:b/>
                <w:bCs/>
                <w:color w:val="FFFFFF"/>
                <w:sz w:val="19"/>
                <w:szCs w:val="19"/>
              </w:rPr>
              <w:t>Reason category</w:t>
            </w:r>
          </w:p>
        </w:tc>
        <w:tc>
          <w:tcPr>
            <w:tcW w:w="900" w:type="dxa"/>
            <w:shd w:val="clear" w:color="auto" w:fill="1A4D7C"/>
            <w:tcMar>
              <w:top w:w="80" w:type="dxa"/>
              <w:left w:w="100" w:type="dxa"/>
              <w:bottom w:w="80" w:type="dxa"/>
              <w:right w:w="100" w:type="dxa"/>
            </w:tcMar>
          </w:tcPr>
          <w:p w14:paraId="4FFDBAA6" w14:textId="77777777" w:rsidR="00347A55" w:rsidRDefault="00000000">
            <w:pPr>
              <w:jc w:val="center"/>
            </w:pPr>
            <w:r>
              <w:rPr>
                <w:rFonts w:ascii="Calibri" w:eastAsia="Calibri" w:hAnsi="Calibri" w:cs="Calibri"/>
                <w:b/>
                <w:bCs/>
                <w:color w:val="FFFFFF"/>
                <w:sz w:val="19"/>
                <w:szCs w:val="19"/>
              </w:rPr>
              <w:t>Count</w:t>
            </w:r>
          </w:p>
        </w:tc>
        <w:tc>
          <w:tcPr>
            <w:tcW w:w="5400" w:type="dxa"/>
            <w:shd w:val="clear" w:color="auto" w:fill="1A4D7C"/>
            <w:tcMar>
              <w:top w:w="80" w:type="dxa"/>
              <w:left w:w="100" w:type="dxa"/>
              <w:bottom w:w="80" w:type="dxa"/>
              <w:right w:w="100" w:type="dxa"/>
            </w:tcMar>
          </w:tcPr>
          <w:p w14:paraId="53EE6252" w14:textId="77777777" w:rsidR="00347A55" w:rsidRDefault="00000000">
            <w:r>
              <w:rPr>
                <w:rFonts w:ascii="Calibri" w:eastAsia="Calibri" w:hAnsi="Calibri" w:cs="Calibri"/>
                <w:b/>
                <w:bCs/>
                <w:color w:val="FFFFFF"/>
                <w:sz w:val="19"/>
                <w:szCs w:val="19"/>
              </w:rPr>
              <w:t>Justification</w:t>
            </w:r>
          </w:p>
        </w:tc>
      </w:tr>
      <w:tr w:rsidR="00347A55" w14:paraId="5B8D6574" w14:textId="77777777">
        <w:tblPrEx>
          <w:tblCellMar>
            <w:top w:w="0" w:type="dxa"/>
            <w:bottom w:w="0" w:type="dxa"/>
          </w:tblCellMar>
        </w:tblPrEx>
        <w:tc>
          <w:tcPr>
            <w:tcW w:w="3200" w:type="dxa"/>
            <w:tcMar>
              <w:top w:w="80" w:type="dxa"/>
              <w:left w:w="100" w:type="dxa"/>
              <w:bottom w:w="80" w:type="dxa"/>
              <w:right w:w="100" w:type="dxa"/>
            </w:tcMar>
          </w:tcPr>
          <w:p w14:paraId="342B1690" w14:textId="77777777" w:rsidR="00347A55" w:rsidRDefault="00000000">
            <w:r>
              <w:rPr>
                <w:rFonts w:ascii="Calibri" w:eastAsia="Calibri" w:hAnsi="Calibri" w:cs="Calibri"/>
                <w:color w:val="222222"/>
                <w:sz w:val="19"/>
                <w:szCs w:val="19"/>
              </w:rPr>
              <w:t xml:space="preserve">Duplicate pattern across users (Logout, </w:t>
            </w:r>
            <w:proofErr w:type="gramStart"/>
            <w:r>
              <w:rPr>
                <w:rFonts w:ascii="Calibri" w:eastAsia="Calibri" w:hAnsi="Calibri" w:cs="Calibri"/>
                <w:color w:val="222222"/>
                <w:sz w:val="19"/>
                <w:szCs w:val="19"/>
              </w:rPr>
              <w:t>About</w:t>
            </w:r>
            <w:proofErr w:type="gramEnd"/>
            <w:r>
              <w:rPr>
                <w:rFonts w:ascii="Calibri" w:eastAsia="Calibri" w:hAnsi="Calibri" w:cs="Calibri"/>
                <w:color w:val="222222"/>
                <w:sz w:val="19"/>
                <w:szCs w:val="19"/>
              </w:rPr>
              <w:t xml:space="preserve"> page, Reset-after-nav, All Items)</w:t>
            </w:r>
          </w:p>
        </w:tc>
        <w:tc>
          <w:tcPr>
            <w:tcW w:w="900" w:type="dxa"/>
            <w:tcMar>
              <w:top w:w="80" w:type="dxa"/>
              <w:left w:w="100" w:type="dxa"/>
              <w:bottom w:w="80" w:type="dxa"/>
              <w:right w:w="100" w:type="dxa"/>
            </w:tcMar>
          </w:tcPr>
          <w:p w14:paraId="740D5C6A" w14:textId="77777777" w:rsidR="00347A55" w:rsidRDefault="00000000">
            <w:pPr>
              <w:jc w:val="center"/>
            </w:pPr>
            <w:r>
              <w:rPr>
                <w:rFonts w:ascii="Calibri" w:eastAsia="Calibri" w:hAnsi="Calibri" w:cs="Calibri"/>
                <w:color w:val="222222"/>
                <w:sz w:val="19"/>
                <w:szCs w:val="19"/>
              </w:rPr>
              <w:t>17</w:t>
            </w:r>
          </w:p>
        </w:tc>
        <w:tc>
          <w:tcPr>
            <w:tcW w:w="5400" w:type="dxa"/>
            <w:tcMar>
              <w:top w:w="80" w:type="dxa"/>
              <w:left w:w="100" w:type="dxa"/>
              <w:bottom w:w="80" w:type="dxa"/>
              <w:right w:w="100" w:type="dxa"/>
            </w:tcMar>
          </w:tcPr>
          <w:p w14:paraId="3F9F4100" w14:textId="77777777" w:rsidR="00347A55" w:rsidRDefault="00000000">
            <w:r>
              <w:rPr>
                <w:rFonts w:ascii="Calibri" w:eastAsia="Calibri" w:hAnsi="Calibri" w:cs="Calibri"/>
                <w:color w:val="222222"/>
                <w:sz w:val="19"/>
                <w:szCs w:val="19"/>
              </w:rPr>
              <w:t>Same underlying check already automated once, under the account where it was first confirmed. Re-automating identical logic per user adds maintenance cost with zero new information.</w:t>
            </w:r>
          </w:p>
        </w:tc>
      </w:tr>
      <w:tr w:rsidR="00347A55" w14:paraId="363FA79E" w14:textId="77777777">
        <w:tblPrEx>
          <w:tblCellMar>
            <w:top w:w="0" w:type="dxa"/>
            <w:bottom w:w="0" w:type="dxa"/>
          </w:tblCellMar>
        </w:tblPrEx>
        <w:tc>
          <w:tcPr>
            <w:tcW w:w="3200" w:type="dxa"/>
            <w:shd w:val="clear" w:color="auto" w:fill="F2F6FA"/>
            <w:tcMar>
              <w:top w:w="80" w:type="dxa"/>
              <w:left w:w="100" w:type="dxa"/>
              <w:bottom w:w="80" w:type="dxa"/>
              <w:right w:w="100" w:type="dxa"/>
            </w:tcMar>
          </w:tcPr>
          <w:p w14:paraId="5A7A05C8" w14:textId="77777777" w:rsidR="00347A55" w:rsidRDefault="00000000">
            <w:r>
              <w:rPr>
                <w:rFonts w:ascii="Calibri" w:eastAsia="Calibri" w:hAnsi="Calibri" w:cs="Calibri"/>
                <w:color w:val="222222"/>
                <w:sz w:val="19"/>
                <w:szCs w:val="19"/>
              </w:rPr>
              <w:t>Pure visual / cosmetic findings (badge position, sidebar tilt, image mismatch, button alignment)</w:t>
            </w:r>
          </w:p>
        </w:tc>
        <w:tc>
          <w:tcPr>
            <w:tcW w:w="900" w:type="dxa"/>
            <w:shd w:val="clear" w:color="auto" w:fill="F2F6FA"/>
            <w:tcMar>
              <w:top w:w="80" w:type="dxa"/>
              <w:left w:w="100" w:type="dxa"/>
              <w:bottom w:w="80" w:type="dxa"/>
              <w:right w:w="100" w:type="dxa"/>
            </w:tcMar>
          </w:tcPr>
          <w:p w14:paraId="163CA00D" w14:textId="77777777" w:rsidR="00347A55" w:rsidRDefault="00000000">
            <w:pPr>
              <w:jc w:val="center"/>
            </w:pPr>
            <w:r>
              <w:rPr>
                <w:rFonts w:ascii="Calibri" w:eastAsia="Calibri" w:hAnsi="Calibri" w:cs="Calibri"/>
                <w:color w:val="222222"/>
                <w:sz w:val="19"/>
                <w:szCs w:val="19"/>
              </w:rPr>
              <w:t>5</w:t>
            </w:r>
          </w:p>
        </w:tc>
        <w:tc>
          <w:tcPr>
            <w:tcW w:w="5400" w:type="dxa"/>
            <w:shd w:val="clear" w:color="auto" w:fill="F2F6FA"/>
            <w:tcMar>
              <w:top w:w="80" w:type="dxa"/>
              <w:left w:w="100" w:type="dxa"/>
              <w:bottom w:w="80" w:type="dxa"/>
              <w:right w:w="100" w:type="dxa"/>
            </w:tcMar>
          </w:tcPr>
          <w:p w14:paraId="2ED4D6C2" w14:textId="77777777" w:rsidR="00347A55" w:rsidRDefault="00000000">
            <w:r>
              <w:rPr>
                <w:rFonts w:ascii="Calibri" w:eastAsia="Calibri" w:hAnsi="Calibri" w:cs="Calibri"/>
                <w:color w:val="222222"/>
                <w:sz w:val="19"/>
                <w:szCs w:val="19"/>
              </w:rPr>
              <w:t>Requires subjective visual/pixel judgment rather than a deterministic assertion. A brittle pixel-position check would create false confidence; documented as a verified manual finding instead. (See 'Additional Improvements Considered' - a same-run screenshot comparison technique was designed as a natural next step.)</w:t>
            </w:r>
          </w:p>
        </w:tc>
      </w:tr>
      <w:tr w:rsidR="00347A55" w14:paraId="23D6A88C" w14:textId="77777777">
        <w:tblPrEx>
          <w:tblCellMar>
            <w:top w:w="0" w:type="dxa"/>
            <w:bottom w:w="0" w:type="dxa"/>
          </w:tblCellMar>
        </w:tblPrEx>
        <w:tc>
          <w:tcPr>
            <w:tcW w:w="3200" w:type="dxa"/>
            <w:tcMar>
              <w:top w:w="80" w:type="dxa"/>
              <w:left w:w="100" w:type="dxa"/>
              <w:bottom w:w="80" w:type="dxa"/>
              <w:right w:w="100" w:type="dxa"/>
            </w:tcMar>
          </w:tcPr>
          <w:p w14:paraId="430E3BC1" w14:textId="77777777" w:rsidR="00347A55" w:rsidRDefault="00000000">
            <w:r>
              <w:rPr>
                <w:rFonts w:ascii="Calibri" w:eastAsia="Calibri" w:hAnsi="Calibri" w:cs="Calibri"/>
                <w:color w:val="222222"/>
                <w:sz w:val="19"/>
                <w:szCs w:val="19"/>
              </w:rPr>
              <w:t>Exploratory / content findings (broken detail-page links, description mismatch)</w:t>
            </w:r>
          </w:p>
        </w:tc>
        <w:tc>
          <w:tcPr>
            <w:tcW w:w="900" w:type="dxa"/>
            <w:tcMar>
              <w:top w:w="80" w:type="dxa"/>
              <w:left w:w="100" w:type="dxa"/>
              <w:bottom w:w="80" w:type="dxa"/>
              <w:right w:w="100" w:type="dxa"/>
            </w:tcMar>
          </w:tcPr>
          <w:p w14:paraId="14172F69" w14:textId="77777777" w:rsidR="00347A55" w:rsidRDefault="00000000">
            <w:pPr>
              <w:jc w:val="center"/>
            </w:pPr>
            <w:r>
              <w:rPr>
                <w:rFonts w:ascii="Calibri" w:eastAsia="Calibri" w:hAnsi="Calibri" w:cs="Calibri"/>
                <w:color w:val="222222"/>
                <w:sz w:val="19"/>
                <w:szCs w:val="19"/>
              </w:rPr>
              <w:t>2</w:t>
            </w:r>
          </w:p>
        </w:tc>
        <w:tc>
          <w:tcPr>
            <w:tcW w:w="5400" w:type="dxa"/>
            <w:tcMar>
              <w:top w:w="80" w:type="dxa"/>
              <w:left w:w="100" w:type="dxa"/>
              <w:bottom w:w="80" w:type="dxa"/>
              <w:right w:w="100" w:type="dxa"/>
            </w:tcMar>
          </w:tcPr>
          <w:p w14:paraId="58828FE2" w14:textId="77777777" w:rsidR="00347A55" w:rsidRDefault="00000000">
            <w:r>
              <w:rPr>
                <w:rFonts w:ascii="Calibri" w:eastAsia="Calibri" w:hAnsi="Calibri" w:cs="Calibri"/>
                <w:color w:val="222222"/>
                <w:sz w:val="19"/>
                <w:szCs w:val="19"/>
              </w:rPr>
              <w:t>Findings from open-ended exploration without a single crisp, reproducible assertion target; documented as evidence rather than scripted.</w:t>
            </w:r>
          </w:p>
        </w:tc>
      </w:tr>
      <w:tr w:rsidR="00347A55" w14:paraId="5BE4C897" w14:textId="77777777">
        <w:tblPrEx>
          <w:tblCellMar>
            <w:top w:w="0" w:type="dxa"/>
            <w:bottom w:w="0" w:type="dxa"/>
          </w:tblCellMar>
        </w:tblPrEx>
        <w:tc>
          <w:tcPr>
            <w:tcW w:w="3200" w:type="dxa"/>
            <w:shd w:val="clear" w:color="auto" w:fill="F2F6FA"/>
            <w:tcMar>
              <w:top w:w="80" w:type="dxa"/>
              <w:left w:w="100" w:type="dxa"/>
              <w:bottom w:w="80" w:type="dxa"/>
              <w:right w:w="100" w:type="dxa"/>
            </w:tcMar>
          </w:tcPr>
          <w:p w14:paraId="7D0CB55C" w14:textId="77777777" w:rsidR="00347A55" w:rsidRDefault="00000000">
            <w:r>
              <w:rPr>
                <w:rFonts w:ascii="Calibri" w:eastAsia="Calibri" w:hAnsi="Calibri" w:cs="Calibri"/>
                <w:color w:val="222222"/>
                <w:sz w:val="19"/>
                <w:szCs w:val="19"/>
              </w:rPr>
              <w:t>Vague/perceived timing</w:t>
            </w:r>
          </w:p>
        </w:tc>
        <w:tc>
          <w:tcPr>
            <w:tcW w:w="900" w:type="dxa"/>
            <w:shd w:val="clear" w:color="auto" w:fill="F2F6FA"/>
            <w:tcMar>
              <w:top w:w="80" w:type="dxa"/>
              <w:left w:w="100" w:type="dxa"/>
              <w:bottom w:w="80" w:type="dxa"/>
              <w:right w:w="100" w:type="dxa"/>
            </w:tcMar>
          </w:tcPr>
          <w:p w14:paraId="6B967498" w14:textId="77777777" w:rsidR="00347A55" w:rsidRDefault="00000000">
            <w:pPr>
              <w:jc w:val="center"/>
            </w:pPr>
            <w:r>
              <w:rPr>
                <w:rFonts w:ascii="Calibri" w:eastAsia="Calibri" w:hAnsi="Calibri" w:cs="Calibri"/>
                <w:color w:val="222222"/>
                <w:sz w:val="19"/>
                <w:szCs w:val="19"/>
              </w:rPr>
              <w:t>2</w:t>
            </w:r>
          </w:p>
        </w:tc>
        <w:tc>
          <w:tcPr>
            <w:tcW w:w="5400" w:type="dxa"/>
            <w:shd w:val="clear" w:color="auto" w:fill="F2F6FA"/>
            <w:tcMar>
              <w:top w:w="80" w:type="dxa"/>
              <w:left w:w="100" w:type="dxa"/>
              <w:bottom w:w="80" w:type="dxa"/>
              <w:right w:w="100" w:type="dxa"/>
            </w:tcMar>
          </w:tcPr>
          <w:p w14:paraId="0603D3E6" w14:textId="77777777" w:rsidR="00347A55" w:rsidRDefault="00000000">
            <w:r>
              <w:rPr>
                <w:rFonts w:ascii="Calibri" w:eastAsia="Calibri" w:hAnsi="Calibri" w:cs="Calibri"/>
                <w:color w:val="222222"/>
                <w:sz w:val="19"/>
                <w:szCs w:val="19"/>
              </w:rPr>
              <w:t>“Feels slower” without a hard, reproducible number — an arbitrary threshold would be a guess dressed up as a test.</w:t>
            </w:r>
          </w:p>
        </w:tc>
      </w:tr>
      <w:tr w:rsidR="00347A55" w14:paraId="787DDE9B" w14:textId="77777777">
        <w:tblPrEx>
          <w:tblCellMar>
            <w:top w:w="0" w:type="dxa"/>
            <w:bottom w:w="0" w:type="dxa"/>
          </w:tblCellMar>
        </w:tblPrEx>
        <w:tc>
          <w:tcPr>
            <w:tcW w:w="3200" w:type="dxa"/>
            <w:tcMar>
              <w:top w:w="80" w:type="dxa"/>
              <w:left w:w="100" w:type="dxa"/>
              <w:bottom w:w="80" w:type="dxa"/>
              <w:right w:w="100" w:type="dxa"/>
            </w:tcMar>
          </w:tcPr>
          <w:p w14:paraId="72F01EDF" w14:textId="77777777" w:rsidR="00347A55" w:rsidRDefault="00000000">
            <w:r>
              <w:rPr>
                <w:rFonts w:ascii="Calibri" w:eastAsia="Calibri" w:hAnsi="Calibri" w:cs="Calibri"/>
                <w:color w:val="222222"/>
                <w:sz w:val="19"/>
                <w:szCs w:val="19"/>
              </w:rPr>
              <w:t>Low-risk pure navigation checks</w:t>
            </w:r>
          </w:p>
        </w:tc>
        <w:tc>
          <w:tcPr>
            <w:tcW w:w="900" w:type="dxa"/>
            <w:tcMar>
              <w:top w:w="80" w:type="dxa"/>
              <w:left w:w="100" w:type="dxa"/>
              <w:bottom w:w="80" w:type="dxa"/>
              <w:right w:w="100" w:type="dxa"/>
            </w:tcMar>
          </w:tcPr>
          <w:p w14:paraId="00DD3EF0" w14:textId="77777777" w:rsidR="00347A55" w:rsidRDefault="00000000">
            <w:pPr>
              <w:jc w:val="center"/>
            </w:pPr>
            <w:r>
              <w:rPr>
                <w:rFonts w:ascii="Calibri" w:eastAsia="Calibri" w:hAnsi="Calibri" w:cs="Calibri"/>
                <w:color w:val="222222"/>
                <w:sz w:val="19"/>
                <w:szCs w:val="19"/>
              </w:rPr>
              <w:t>2</w:t>
            </w:r>
          </w:p>
        </w:tc>
        <w:tc>
          <w:tcPr>
            <w:tcW w:w="5400" w:type="dxa"/>
            <w:tcMar>
              <w:top w:w="80" w:type="dxa"/>
              <w:left w:w="100" w:type="dxa"/>
              <w:bottom w:w="80" w:type="dxa"/>
              <w:right w:w="100" w:type="dxa"/>
            </w:tcMar>
          </w:tcPr>
          <w:p w14:paraId="42C41C48" w14:textId="77777777" w:rsidR="00347A55" w:rsidRDefault="00000000">
            <w:r>
              <w:rPr>
                <w:rFonts w:ascii="Calibri" w:eastAsia="Calibri" w:hAnsi="Calibri" w:cs="Calibri"/>
                <w:color w:val="222222"/>
                <w:sz w:val="19"/>
                <w:szCs w:val="19"/>
              </w:rPr>
              <w:t>Trivial, low-business-impact link checks; time invested in higher-value coverage instead.</w:t>
            </w:r>
          </w:p>
        </w:tc>
      </w:tr>
      <w:tr w:rsidR="00347A55" w14:paraId="66C786CA" w14:textId="77777777">
        <w:tblPrEx>
          <w:tblCellMar>
            <w:top w:w="0" w:type="dxa"/>
            <w:bottom w:w="0" w:type="dxa"/>
          </w:tblCellMar>
        </w:tblPrEx>
        <w:tc>
          <w:tcPr>
            <w:tcW w:w="3200" w:type="dxa"/>
            <w:shd w:val="clear" w:color="auto" w:fill="F2F6FA"/>
            <w:tcMar>
              <w:top w:w="80" w:type="dxa"/>
              <w:left w:w="100" w:type="dxa"/>
              <w:bottom w:w="80" w:type="dxa"/>
              <w:right w:w="100" w:type="dxa"/>
            </w:tcMar>
          </w:tcPr>
          <w:p w14:paraId="0FD1CD8F" w14:textId="77777777" w:rsidR="00347A55" w:rsidRDefault="00000000">
            <w:r>
              <w:rPr>
                <w:rFonts w:ascii="Calibri" w:eastAsia="Calibri" w:hAnsi="Calibri" w:cs="Calibri"/>
                <w:color w:val="222222"/>
                <w:sz w:val="19"/>
                <w:szCs w:val="19"/>
              </w:rPr>
              <w:t>Duplicate feature check</w:t>
            </w:r>
          </w:p>
        </w:tc>
        <w:tc>
          <w:tcPr>
            <w:tcW w:w="900" w:type="dxa"/>
            <w:shd w:val="clear" w:color="auto" w:fill="F2F6FA"/>
            <w:tcMar>
              <w:top w:w="80" w:type="dxa"/>
              <w:left w:w="100" w:type="dxa"/>
              <w:bottom w:w="80" w:type="dxa"/>
              <w:right w:w="100" w:type="dxa"/>
            </w:tcMar>
          </w:tcPr>
          <w:p w14:paraId="7EC79421" w14:textId="77777777" w:rsidR="00347A55" w:rsidRDefault="00000000">
            <w:pPr>
              <w:jc w:val="center"/>
            </w:pPr>
            <w:r>
              <w:rPr>
                <w:rFonts w:ascii="Calibri" w:eastAsia="Calibri" w:hAnsi="Calibri" w:cs="Calibri"/>
                <w:color w:val="222222"/>
                <w:sz w:val="19"/>
                <w:szCs w:val="19"/>
              </w:rPr>
              <w:t>1</w:t>
            </w:r>
          </w:p>
        </w:tc>
        <w:tc>
          <w:tcPr>
            <w:tcW w:w="5400" w:type="dxa"/>
            <w:shd w:val="clear" w:color="auto" w:fill="F2F6FA"/>
            <w:tcMar>
              <w:top w:w="80" w:type="dxa"/>
              <w:left w:w="100" w:type="dxa"/>
              <w:bottom w:w="80" w:type="dxa"/>
              <w:right w:w="100" w:type="dxa"/>
            </w:tcMar>
          </w:tcPr>
          <w:p w14:paraId="498AA422" w14:textId="77777777" w:rsidR="00347A55" w:rsidRDefault="00000000">
            <w:r>
              <w:rPr>
                <w:rFonts w:ascii="Calibri" w:eastAsia="Calibri" w:hAnsi="Calibri" w:cs="Calibri"/>
                <w:color w:val="222222"/>
                <w:sz w:val="19"/>
                <w:szCs w:val="19"/>
              </w:rPr>
              <w:t xml:space="preserve">Same PDF-generation feature already verified once under </w:t>
            </w:r>
            <w:proofErr w:type="spellStart"/>
            <w:r>
              <w:rPr>
                <w:rFonts w:ascii="Calibri" w:eastAsia="Calibri" w:hAnsi="Calibri" w:cs="Calibri"/>
                <w:color w:val="222222"/>
                <w:sz w:val="19"/>
                <w:szCs w:val="19"/>
              </w:rPr>
              <w:t>standard_user</w:t>
            </w:r>
            <w:proofErr w:type="spellEnd"/>
            <w:r>
              <w:rPr>
                <w:rFonts w:ascii="Calibri" w:eastAsia="Calibri" w:hAnsi="Calibri" w:cs="Calibri"/>
                <w:color w:val="222222"/>
                <w:sz w:val="19"/>
                <w:szCs w:val="19"/>
              </w:rPr>
              <w:t>.</w:t>
            </w:r>
          </w:p>
        </w:tc>
      </w:tr>
      <w:tr w:rsidR="00347A55" w14:paraId="7BDD4EA6" w14:textId="77777777">
        <w:tblPrEx>
          <w:tblCellMar>
            <w:top w:w="0" w:type="dxa"/>
            <w:bottom w:w="0" w:type="dxa"/>
          </w:tblCellMar>
        </w:tblPrEx>
        <w:tc>
          <w:tcPr>
            <w:tcW w:w="3200" w:type="dxa"/>
            <w:tcMar>
              <w:top w:w="80" w:type="dxa"/>
              <w:left w:w="100" w:type="dxa"/>
              <w:bottom w:w="80" w:type="dxa"/>
              <w:right w:w="100" w:type="dxa"/>
            </w:tcMar>
          </w:tcPr>
          <w:p w14:paraId="0F8AD671" w14:textId="77777777" w:rsidR="00347A55" w:rsidRDefault="00000000">
            <w:r>
              <w:rPr>
                <w:rFonts w:ascii="Calibri" w:eastAsia="Calibri" w:hAnsi="Calibri" w:cs="Calibri"/>
                <w:color w:val="222222"/>
                <w:sz w:val="19"/>
                <w:szCs w:val="19"/>
              </w:rPr>
              <w:t>Baseline confirmation only</w:t>
            </w:r>
          </w:p>
        </w:tc>
        <w:tc>
          <w:tcPr>
            <w:tcW w:w="900" w:type="dxa"/>
            <w:tcMar>
              <w:top w:w="80" w:type="dxa"/>
              <w:left w:w="100" w:type="dxa"/>
              <w:bottom w:w="80" w:type="dxa"/>
              <w:right w:w="100" w:type="dxa"/>
            </w:tcMar>
          </w:tcPr>
          <w:p w14:paraId="5C516578" w14:textId="77777777" w:rsidR="00347A55" w:rsidRDefault="00000000">
            <w:pPr>
              <w:jc w:val="center"/>
            </w:pPr>
            <w:r>
              <w:rPr>
                <w:rFonts w:ascii="Calibri" w:eastAsia="Calibri" w:hAnsi="Calibri" w:cs="Calibri"/>
                <w:color w:val="222222"/>
                <w:sz w:val="19"/>
                <w:szCs w:val="19"/>
              </w:rPr>
              <w:t>1</w:t>
            </w:r>
          </w:p>
        </w:tc>
        <w:tc>
          <w:tcPr>
            <w:tcW w:w="5400" w:type="dxa"/>
            <w:tcMar>
              <w:top w:w="80" w:type="dxa"/>
              <w:left w:w="100" w:type="dxa"/>
              <w:bottom w:w="80" w:type="dxa"/>
              <w:right w:w="100" w:type="dxa"/>
            </w:tcMar>
          </w:tcPr>
          <w:p w14:paraId="39AEA42E" w14:textId="77777777" w:rsidR="00347A55" w:rsidRDefault="00000000">
            <w:r>
              <w:rPr>
                <w:rFonts w:ascii="Calibri" w:eastAsia="Calibri" w:hAnsi="Calibri" w:cs="Calibri"/>
                <w:color w:val="222222"/>
                <w:sz w:val="19"/>
                <w:szCs w:val="19"/>
              </w:rPr>
              <w:t>Confirms an account behaves normally — lowest information value of any case in the set.</w:t>
            </w:r>
          </w:p>
        </w:tc>
      </w:tr>
    </w:tbl>
    <w:p w14:paraId="741F439E" w14:textId="77777777" w:rsidR="00347A55" w:rsidRDefault="00000000">
      <w:pPr>
        <w:pStyle w:val="Heading1"/>
        <w:spacing w:before="280" w:after="120"/>
      </w:pPr>
      <w:r>
        <w:rPr>
          <w:rFonts w:ascii="Calibri" w:eastAsia="Calibri" w:hAnsi="Calibri" w:cs="Calibri"/>
          <w:b/>
          <w:bCs/>
          <w:color w:val="1A4D7C"/>
          <w:sz w:val="26"/>
          <w:szCs w:val="26"/>
        </w:rPr>
        <w:t>5. Test Tagging Strategy (Bonus Item)</w:t>
      </w:r>
    </w:p>
    <w:p w14:paraId="6E71F46A" w14:textId="77777777" w:rsidR="00347A55" w:rsidRDefault="00000000">
      <w:pPr>
        <w:spacing w:after="140" w:line="276" w:lineRule="auto"/>
      </w:pPr>
      <w:r>
        <w:rPr>
          <w:rFonts w:ascii="Calibri" w:eastAsia="Calibri" w:hAnsi="Calibri" w:cs="Calibri"/>
          <w:color w:val="222222"/>
          <w:sz w:val="21"/>
          <w:szCs w:val="21"/>
        </w:rPr>
        <w:t>Chosen over parallel execution as the bonus deliverable, since parallel execution is already in default use locally (Playwright auto-detects worker count) — tagging was the more meaningful additional artifact to build deliberately.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00"/>
        <w:gridCol w:w="2000"/>
      </w:tblGrid>
      <w:tr w:rsidR="00347A55" w14:paraId="556108D0" w14:textId="77777777">
        <w:tblPrEx>
          <w:tblCellMar>
            <w:top w:w="0" w:type="dxa"/>
            <w:bottom w:w="0" w:type="dxa"/>
          </w:tblCellMar>
        </w:tblPrEx>
        <w:trPr>
          <w:tblHeader/>
        </w:trPr>
        <w:tc>
          <w:tcPr>
            <w:tcW w:w="2000" w:type="dxa"/>
            <w:shd w:val="clear" w:color="auto" w:fill="1A4D7C"/>
            <w:tcMar>
              <w:top w:w="80" w:type="dxa"/>
              <w:left w:w="100" w:type="dxa"/>
              <w:bottom w:w="80" w:type="dxa"/>
              <w:right w:w="100" w:type="dxa"/>
            </w:tcMar>
          </w:tcPr>
          <w:p w14:paraId="24BA75A1" w14:textId="77777777" w:rsidR="00347A55" w:rsidRDefault="00000000">
            <w:r>
              <w:rPr>
                <w:rFonts w:ascii="Calibri" w:eastAsia="Calibri" w:hAnsi="Calibri" w:cs="Calibri"/>
                <w:b/>
                <w:bCs/>
                <w:color w:val="FFFFFF"/>
                <w:sz w:val="19"/>
                <w:szCs w:val="19"/>
              </w:rPr>
              <w:t>Tag</w:t>
            </w:r>
          </w:p>
        </w:tc>
        <w:tc>
          <w:tcPr>
            <w:tcW w:w="5500" w:type="dxa"/>
            <w:shd w:val="clear" w:color="auto" w:fill="1A4D7C"/>
            <w:tcMar>
              <w:top w:w="80" w:type="dxa"/>
              <w:left w:w="100" w:type="dxa"/>
              <w:bottom w:w="80" w:type="dxa"/>
              <w:right w:w="100" w:type="dxa"/>
            </w:tcMar>
          </w:tcPr>
          <w:p w14:paraId="203F635A" w14:textId="77777777" w:rsidR="00347A55" w:rsidRDefault="00000000">
            <w:r>
              <w:rPr>
                <w:rFonts w:ascii="Calibri" w:eastAsia="Calibri" w:hAnsi="Calibri" w:cs="Calibri"/>
                <w:b/>
                <w:bCs/>
                <w:color w:val="FFFFFF"/>
                <w:sz w:val="19"/>
                <w:szCs w:val="19"/>
              </w:rPr>
              <w:t>Purpose</w:t>
            </w:r>
          </w:p>
        </w:tc>
        <w:tc>
          <w:tcPr>
            <w:tcW w:w="2000" w:type="dxa"/>
            <w:shd w:val="clear" w:color="auto" w:fill="1A4D7C"/>
            <w:tcMar>
              <w:top w:w="80" w:type="dxa"/>
              <w:left w:w="100" w:type="dxa"/>
              <w:bottom w:w="80" w:type="dxa"/>
              <w:right w:w="100" w:type="dxa"/>
            </w:tcMar>
          </w:tcPr>
          <w:p w14:paraId="3AD34093" w14:textId="77777777" w:rsidR="00347A55" w:rsidRDefault="00000000">
            <w:pPr>
              <w:jc w:val="center"/>
            </w:pPr>
            <w:r>
              <w:rPr>
                <w:rFonts w:ascii="Calibri" w:eastAsia="Calibri" w:hAnsi="Calibri" w:cs="Calibri"/>
                <w:b/>
                <w:bCs/>
                <w:color w:val="FFFFFF"/>
                <w:sz w:val="19"/>
                <w:szCs w:val="19"/>
              </w:rPr>
              <w:t>Scenarios (Runs)</w:t>
            </w:r>
          </w:p>
        </w:tc>
      </w:tr>
      <w:tr w:rsidR="00347A55" w14:paraId="0EEE2207" w14:textId="77777777">
        <w:tblPrEx>
          <w:tblCellMar>
            <w:top w:w="0" w:type="dxa"/>
            <w:bottom w:w="0" w:type="dxa"/>
          </w:tblCellMar>
        </w:tblPrEx>
        <w:tc>
          <w:tcPr>
            <w:tcW w:w="2000" w:type="dxa"/>
            <w:tcMar>
              <w:top w:w="80" w:type="dxa"/>
              <w:left w:w="100" w:type="dxa"/>
              <w:bottom w:w="80" w:type="dxa"/>
              <w:right w:w="100" w:type="dxa"/>
            </w:tcMar>
          </w:tcPr>
          <w:p w14:paraId="069C035C" w14:textId="77777777" w:rsidR="00347A55" w:rsidRDefault="00000000">
            <w:r>
              <w:rPr>
                <w:rFonts w:ascii="Calibri" w:eastAsia="Calibri" w:hAnsi="Calibri" w:cs="Calibri"/>
                <w:b/>
                <w:bCs/>
                <w:color w:val="222222"/>
                <w:sz w:val="19"/>
                <w:szCs w:val="19"/>
              </w:rPr>
              <w:t>@smoke</w:t>
            </w:r>
          </w:p>
        </w:tc>
        <w:tc>
          <w:tcPr>
            <w:tcW w:w="5500" w:type="dxa"/>
            <w:tcMar>
              <w:top w:w="80" w:type="dxa"/>
              <w:left w:w="100" w:type="dxa"/>
              <w:bottom w:w="80" w:type="dxa"/>
              <w:right w:w="100" w:type="dxa"/>
            </w:tcMar>
          </w:tcPr>
          <w:p w14:paraId="2A399433" w14:textId="77777777" w:rsidR="00347A55" w:rsidRDefault="00000000">
            <w:r>
              <w:rPr>
                <w:rFonts w:ascii="Calibri" w:eastAsia="Calibri" w:hAnsi="Calibri" w:cs="Calibri"/>
                <w:color w:val="222222"/>
                <w:sz w:val="19"/>
                <w:szCs w:val="19"/>
              </w:rPr>
              <w:t>One representative check per stage of the critical user journey — login, access control, add-to-cart, cart state, checkout — covering the full pipeline with zero redundancy.</w:t>
            </w:r>
          </w:p>
        </w:tc>
        <w:tc>
          <w:tcPr>
            <w:tcW w:w="2000" w:type="dxa"/>
            <w:tcMar>
              <w:top w:w="80" w:type="dxa"/>
              <w:left w:w="100" w:type="dxa"/>
              <w:bottom w:w="80" w:type="dxa"/>
              <w:right w:w="100" w:type="dxa"/>
            </w:tcMar>
          </w:tcPr>
          <w:p w14:paraId="7DF72FB5" w14:textId="77777777" w:rsidR="00347A55" w:rsidRDefault="00000000">
            <w:pPr>
              <w:jc w:val="center"/>
            </w:pPr>
            <w:r>
              <w:rPr>
                <w:rFonts w:ascii="Calibri" w:eastAsia="Calibri" w:hAnsi="Calibri" w:cs="Calibri"/>
                <w:color w:val="222222"/>
                <w:sz w:val="19"/>
                <w:szCs w:val="19"/>
              </w:rPr>
              <w:t>5 (15)</w:t>
            </w:r>
          </w:p>
        </w:tc>
      </w:tr>
      <w:tr w:rsidR="00347A55" w14:paraId="21BAAA87" w14:textId="77777777">
        <w:tblPrEx>
          <w:tblCellMar>
            <w:top w:w="0" w:type="dxa"/>
            <w:bottom w:w="0" w:type="dxa"/>
          </w:tblCellMar>
        </w:tblPrEx>
        <w:tc>
          <w:tcPr>
            <w:tcW w:w="2000" w:type="dxa"/>
            <w:shd w:val="clear" w:color="auto" w:fill="F2F6FA"/>
            <w:tcMar>
              <w:top w:w="80" w:type="dxa"/>
              <w:left w:w="100" w:type="dxa"/>
              <w:bottom w:w="80" w:type="dxa"/>
              <w:right w:w="100" w:type="dxa"/>
            </w:tcMar>
          </w:tcPr>
          <w:p w14:paraId="609C0FFA" w14:textId="77777777" w:rsidR="00347A55" w:rsidRDefault="00000000">
            <w:r>
              <w:rPr>
                <w:rFonts w:ascii="Calibri" w:eastAsia="Calibri" w:hAnsi="Calibri" w:cs="Calibri"/>
                <w:b/>
                <w:bCs/>
                <w:color w:val="222222"/>
                <w:sz w:val="19"/>
                <w:szCs w:val="19"/>
              </w:rPr>
              <w:t>@regression</w:t>
            </w:r>
          </w:p>
        </w:tc>
        <w:tc>
          <w:tcPr>
            <w:tcW w:w="5500" w:type="dxa"/>
            <w:shd w:val="clear" w:color="auto" w:fill="F2F6FA"/>
            <w:tcMar>
              <w:top w:w="80" w:type="dxa"/>
              <w:left w:w="100" w:type="dxa"/>
              <w:bottom w:w="80" w:type="dxa"/>
              <w:right w:w="100" w:type="dxa"/>
            </w:tcMar>
          </w:tcPr>
          <w:p w14:paraId="5E1DD4D1" w14:textId="77777777" w:rsidR="00347A55" w:rsidRDefault="00000000">
            <w:r>
              <w:rPr>
                <w:rFonts w:ascii="Calibri" w:eastAsia="Calibri" w:hAnsi="Calibri" w:cs="Calibri"/>
                <w:color w:val="222222"/>
                <w:sz w:val="19"/>
                <w:szCs w:val="19"/>
              </w:rPr>
              <w:t>A direct, literal mapping: every automated test where the manual sheet records a confirmed defect. Verified 1-to-1 consistent — every currently-failing test is tagged @regression, and every @regression test currently fails.</w:t>
            </w:r>
          </w:p>
        </w:tc>
        <w:tc>
          <w:tcPr>
            <w:tcW w:w="2000" w:type="dxa"/>
            <w:shd w:val="clear" w:color="auto" w:fill="F2F6FA"/>
            <w:tcMar>
              <w:top w:w="80" w:type="dxa"/>
              <w:left w:w="100" w:type="dxa"/>
              <w:bottom w:w="80" w:type="dxa"/>
              <w:right w:w="100" w:type="dxa"/>
            </w:tcMar>
          </w:tcPr>
          <w:p w14:paraId="397A3E74" w14:textId="77777777" w:rsidR="00347A55" w:rsidRDefault="00000000">
            <w:pPr>
              <w:jc w:val="center"/>
            </w:pPr>
            <w:r>
              <w:rPr>
                <w:rFonts w:ascii="Calibri" w:eastAsia="Calibri" w:hAnsi="Calibri" w:cs="Calibri"/>
                <w:color w:val="222222"/>
                <w:sz w:val="19"/>
                <w:szCs w:val="19"/>
              </w:rPr>
              <w:t>15 (45)</w:t>
            </w:r>
          </w:p>
        </w:tc>
      </w:tr>
      <w:tr w:rsidR="00347A55" w14:paraId="78115731" w14:textId="77777777">
        <w:tblPrEx>
          <w:tblCellMar>
            <w:top w:w="0" w:type="dxa"/>
            <w:bottom w:w="0" w:type="dxa"/>
          </w:tblCellMar>
        </w:tblPrEx>
        <w:tc>
          <w:tcPr>
            <w:tcW w:w="2000" w:type="dxa"/>
            <w:tcMar>
              <w:top w:w="80" w:type="dxa"/>
              <w:left w:w="100" w:type="dxa"/>
              <w:bottom w:w="80" w:type="dxa"/>
              <w:right w:w="100" w:type="dxa"/>
            </w:tcMar>
          </w:tcPr>
          <w:p w14:paraId="112CD456" w14:textId="77777777" w:rsidR="00347A55" w:rsidRDefault="00000000">
            <w:r>
              <w:rPr>
                <w:rFonts w:ascii="Calibri" w:eastAsia="Calibri" w:hAnsi="Calibri" w:cs="Calibri"/>
                <w:b/>
                <w:bCs/>
                <w:color w:val="222222"/>
                <w:sz w:val="19"/>
                <w:szCs w:val="19"/>
              </w:rPr>
              <w:t>(untagged)</w:t>
            </w:r>
          </w:p>
        </w:tc>
        <w:tc>
          <w:tcPr>
            <w:tcW w:w="5500" w:type="dxa"/>
            <w:tcMar>
              <w:top w:w="80" w:type="dxa"/>
              <w:left w:w="100" w:type="dxa"/>
              <w:bottom w:w="80" w:type="dxa"/>
              <w:right w:w="100" w:type="dxa"/>
            </w:tcMar>
          </w:tcPr>
          <w:p w14:paraId="7FDAB22B" w14:textId="77777777" w:rsidR="00347A55" w:rsidRDefault="00000000">
            <w:r>
              <w:rPr>
                <w:rFonts w:ascii="Calibri" w:eastAsia="Calibri" w:hAnsi="Calibri" w:cs="Calibri"/>
                <w:color w:val="222222"/>
                <w:sz w:val="19"/>
                <w:szCs w:val="19"/>
              </w:rPr>
              <w:t>Standard functional coverage of working, correctly-behaving features.</w:t>
            </w:r>
          </w:p>
        </w:tc>
        <w:tc>
          <w:tcPr>
            <w:tcW w:w="2000" w:type="dxa"/>
            <w:tcMar>
              <w:top w:w="80" w:type="dxa"/>
              <w:left w:w="100" w:type="dxa"/>
              <w:bottom w:w="80" w:type="dxa"/>
              <w:right w:w="100" w:type="dxa"/>
            </w:tcMar>
          </w:tcPr>
          <w:p w14:paraId="03F20E0A" w14:textId="77777777" w:rsidR="00347A55" w:rsidRDefault="00000000">
            <w:pPr>
              <w:jc w:val="center"/>
            </w:pPr>
            <w:r>
              <w:rPr>
                <w:rFonts w:ascii="Calibri" w:eastAsia="Calibri" w:hAnsi="Calibri" w:cs="Calibri"/>
                <w:color w:val="222222"/>
                <w:sz w:val="19"/>
                <w:szCs w:val="19"/>
              </w:rPr>
              <w:t>25 (75)</w:t>
            </w:r>
          </w:p>
        </w:tc>
      </w:tr>
    </w:tbl>
    <w:p w14:paraId="4C4AF088" w14:textId="77777777" w:rsidR="00347A55" w:rsidRDefault="00000000">
      <w:pPr>
        <w:pStyle w:val="Heading1"/>
        <w:spacing w:before="280" w:after="120"/>
      </w:pPr>
      <w:r>
        <w:rPr>
          <w:rFonts w:ascii="Calibri" w:eastAsia="Calibri" w:hAnsi="Calibri" w:cs="Calibri"/>
          <w:b/>
          <w:bCs/>
          <w:color w:val="1A4D7C"/>
          <w:sz w:val="26"/>
          <w:szCs w:val="26"/>
        </w:rPr>
        <w:t>6. CI/CD: Two-Tier Pipeline (Bonus Item)</w:t>
      </w:r>
    </w:p>
    <w:p w14:paraId="71FA6373" w14:textId="77777777" w:rsidR="00347A55" w:rsidRDefault="00000000">
      <w:pPr>
        <w:spacing w:after="140" w:line="276" w:lineRule="auto"/>
      </w:pPr>
      <w:r>
        <w:rPr>
          <w:rFonts w:ascii="Calibri" w:eastAsia="Calibri" w:hAnsi="Calibri" w:cs="Calibri"/>
          <w:color w:val="222222"/>
          <w:sz w:val="21"/>
          <w:szCs w:val="21"/>
        </w:rPr>
        <w:t>A single combined pipeline would always show red, since 45 tests are intentional, permanent regression checks — meaning it could never safely gate a real release, as an urgent, unrelated fix would be blocked by pre-existing, already-known issues every time. Replaced with two independent jobs:</w:t>
      </w:r>
    </w:p>
    <w:p w14:paraId="2DC62F03"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Release Gate (blocking): runs everything EXCEPT known defects (~90 tests). Must pass to merge/release — catches any regression a change actually introduces.</w:t>
      </w:r>
    </w:p>
    <w:p w14:paraId="27063FDD"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Known Defects Tracker (non-blocking, continue-on-error): runs only the 15 known-defect tests. Keeps documented defects visible without ever blocking a release.</w:t>
      </w:r>
    </w:p>
    <w:p w14:paraId="35CCB67C" w14:textId="77777777" w:rsidR="00347A55" w:rsidRDefault="00000000">
      <w:pPr>
        <w:spacing w:after="140" w:line="276" w:lineRule="auto"/>
      </w:pPr>
      <w:r>
        <w:rPr>
          <w:rFonts w:ascii="Calibri" w:eastAsia="Calibri" w:hAnsi="Calibri" w:cs="Calibri"/>
          <w:color w:val="222222"/>
          <w:sz w:val="21"/>
          <w:szCs w:val="21"/>
        </w:rPr>
        <w:t xml:space="preserve">This design was extended to cover a harder case: a brand-new, previously-undiscovered defect appearing during an urgent, unrelated release. The correct response is not a silent bypass — it is to confirm the failure is unrelated to </w:t>
      </w:r>
      <w:r>
        <w:rPr>
          <w:rFonts w:ascii="Calibri" w:eastAsia="Calibri" w:hAnsi="Calibri" w:cs="Calibri"/>
          <w:color w:val="222222"/>
          <w:sz w:val="21"/>
          <w:szCs w:val="21"/>
        </w:rPr>
        <w:lastRenderedPageBreak/>
        <w:t>the change, tag the new defect's test @regression in the same commit as the fix, and let the pipeline re-run, now correctly green on the gate while the tracker honestly records the new finding. Speed and honest tracking are kept together rather than traded off.</w:t>
      </w:r>
    </w:p>
    <w:p w14:paraId="09818B8A" w14:textId="77777777" w:rsidR="00347A55" w:rsidRDefault="00000000">
      <w:pPr>
        <w:pStyle w:val="Heading1"/>
        <w:spacing w:before="280" w:after="120"/>
      </w:pPr>
      <w:r>
        <w:rPr>
          <w:rFonts w:ascii="Calibri" w:eastAsia="Calibri" w:hAnsi="Calibri" w:cs="Calibri"/>
          <w:b/>
          <w:bCs/>
          <w:color w:val="1A4D7C"/>
          <w:sz w:val="26"/>
          <w:szCs w:val="26"/>
        </w:rPr>
        <w:t>7. Additional Quality Improvements</w:t>
      </w:r>
    </w:p>
    <w:p w14:paraId="49D2F477"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Enhanced custom dashboard (dashboard/index.html): reads Playwright's JSON output directly — pass/fail totals, per-user and per-browser breakdowns, and a defect breakdown by priority, layered on top of the standard HTML report.</w:t>
      </w:r>
    </w:p>
    <w:p w14:paraId="3CF95013"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Husky pre-commit hook: runs @smoke automatically before every commit; verified directly to both permit a passing commit and actively block a failing one.</w:t>
      </w:r>
    </w:p>
    <w:p w14:paraId="4381B062"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Two-tier CI redesign (Section 6): the strongest additional-improvement item — addresses a real architectural gap rather than adding an isolated feature.</w:t>
      </w:r>
    </w:p>
    <w:p w14:paraId="61588461" w14:textId="77777777" w:rsidR="00347A55" w:rsidRDefault="00000000">
      <w:pPr>
        <w:pStyle w:val="ListParagraph"/>
        <w:numPr>
          <w:ilvl w:val="0"/>
          <w:numId w:val="2"/>
        </w:numPr>
        <w:spacing w:after="80" w:line="264" w:lineRule="auto"/>
      </w:pPr>
      <w:r>
        <w:rPr>
          <w:rFonts w:ascii="Calibri" w:eastAsia="Calibri" w:hAnsi="Calibri" w:cs="Calibri"/>
          <w:color w:val="222222"/>
          <w:sz w:val="21"/>
          <w:szCs w:val="21"/>
        </w:rPr>
        <w:t xml:space="preserve">Considered, not built: same-run visual regression comparison (capturing </w:t>
      </w:r>
      <w:proofErr w:type="spellStart"/>
      <w:r>
        <w:rPr>
          <w:rFonts w:ascii="Calibri" w:eastAsia="Calibri" w:hAnsi="Calibri" w:cs="Calibri"/>
          <w:color w:val="222222"/>
          <w:sz w:val="21"/>
          <w:szCs w:val="21"/>
        </w:rPr>
        <w:t>standard_user</w:t>
      </w:r>
      <w:proofErr w:type="spellEnd"/>
      <w:r>
        <w:rPr>
          <w:rFonts w:ascii="Calibri" w:eastAsia="Calibri" w:hAnsi="Calibri" w:cs="Calibri"/>
          <w:color w:val="222222"/>
          <w:sz w:val="21"/>
          <w:szCs w:val="21"/>
        </w:rPr>
        <w:t xml:space="preserve"> and </w:t>
      </w:r>
      <w:proofErr w:type="spellStart"/>
      <w:r>
        <w:rPr>
          <w:rFonts w:ascii="Calibri" w:eastAsia="Calibri" w:hAnsi="Calibri" w:cs="Calibri"/>
          <w:color w:val="222222"/>
          <w:sz w:val="21"/>
          <w:szCs w:val="21"/>
        </w:rPr>
        <w:t>visual_user</w:t>
      </w:r>
      <w:proofErr w:type="spellEnd"/>
      <w:r>
        <w:rPr>
          <w:rFonts w:ascii="Calibri" w:eastAsia="Calibri" w:hAnsi="Calibri" w:cs="Calibri"/>
          <w:color w:val="222222"/>
          <w:sz w:val="21"/>
          <w:szCs w:val="21"/>
        </w:rPr>
        <w:t xml:space="preserve"> screenshots within a single execution, avoiding cross-environment baseline mismatches entirely) — designed but deprioritised given time, in favour of the CI work above.</w:t>
      </w:r>
    </w:p>
    <w:p w14:paraId="1BDB62D8" w14:textId="77777777" w:rsidR="00347A55" w:rsidRDefault="00000000">
      <w:pPr>
        <w:pStyle w:val="Heading1"/>
        <w:spacing w:before="280" w:after="120"/>
      </w:pPr>
      <w:r>
        <w:rPr>
          <w:rFonts w:ascii="Calibri" w:eastAsia="Calibri" w:hAnsi="Calibri" w:cs="Calibri"/>
          <w:b/>
          <w:bCs/>
          <w:color w:val="1A4D7C"/>
          <w:sz w:val="26"/>
          <w:szCs w:val="26"/>
        </w:rPr>
        <w:t>8. The Principle Behind the Split</w:t>
      </w:r>
    </w:p>
    <w:p w14:paraId="4A6BB7A2" w14:textId="77777777" w:rsidR="00347A55" w:rsidRDefault="00000000">
      <w:pPr>
        <w:spacing w:after="140" w:line="276" w:lineRule="auto"/>
      </w:pPr>
      <w:r>
        <w:rPr>
          <w:rFonts w:ascii="Calibri" w:eastAsia="Calibri" w:hAnsi="Calibri" w:cs="Calibri"/>
          <w:color w:val="222222"/>
          <w:sz w:val="21"/>
          <w:szCs w:val="21"/>
        </w:rPr>
        <w:t>Automation coverage was optimised for defensible, high-value regression protection — not the highest possible count of scripted tests. A working-student assignment graded on “risk-based testing approach” and “ability to explain technical decisions” rewards demonstrating judgment about what deserves automation, not blanket coverage of every documented observation.</w:t>
      </w:r>
    </w:p>
    <w:p w14:paraId="2170A06A" w14:textId="08DD0BF0" w:rsidR="00347A55" w:rsidRDefault="00000000">
      <w:pPr>
        <w:pStyle w:val="Heading1"/>
        <w:spacing w:before="280" w:after="120"/>
      </w:pPr>
      <w:r>
        <w:rPr>
          <w:rFonts w:ascii="Calibri" w:eastAsia="Calibri" w:hAnsi="Calibri" w:cs="Calibri"/>
          <w:b/>
          <w:bCs/>
          <w:color w:val="1A4D7C"/>
          <w:sz w:val="26"/>
          <w:szCs w:val="26"/>
        </w:rPr>
        <w:t>9. “Why Not Automate Everything?”</w:t>
      </w:r>
    </w:p>
    <w:p w14:paraId="78C6BED2" w14:textId="77777777" w:rsidR="00347A55" w:rsidRDefault="00000000">
      <w:pPr>
        <w:spacing w:after="140" w:line="276" w:lineRule="auto"/>
      </w:pPr>
      <w:r>
        <w:rPr>
          <w:rFonts w:ascii="Calibri" w:eastAsia="Calibri" w:hAnsi="Calibri" w:cs="Calibri"/>
          <w:i/>
          <w:iCs/>
          <w:color w:val="555555"/>
          <w:sz w:val="21"/>
          <w:szCs w:val="21"/>
        </w:rPr>
        <w:t>“Every excluded case has a specific, stated reason — mostly because the same check was already proven once elsewhere, or because the finding needs subjective human judgement rather than a deterministic assertion. Automating everything regardless of reason would inflate the test count without adding real coverage, and in the visual/timing cases would actually reduce reliability by encoding a guess as if it were a hard requirement.”</w:t>
      </w:r>
    </w:p>
    <w:sectPr w:rsidR="00347A55">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F903A" w14:textId="77777777" w:rsidR="00FD3642" w:rsidRDefault="00FD3642">
      <w:r>
        <w:separator/>
      </w:r>
    </w:p>
  </w:endnote>
  <w:endnote w:type="continuationSeparator" w:id="0">
    <w:p w14:paraId="20789F85" w14:textId="77777777" w:rsidR="00FD3642" w:rsidRDefault="00FD3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86E3" w14:textId="77777777" w:rsidR="00347A55" w:rsidRDefault="00000000">
    <w:pPr>
      <w:jc w:val="center"/>
    </w:pPr>
    <w:r>
      <w:rPr>
        <w:rFonts w:ascii="Calibri" w:eastAsia="Calibri" w:hAnsi="Calibri" w:cs="Calibri"/>
        <w:color w:val="555555"/>
        <w:sz w:val="16"/>
        <w:szCs w:val="16"/>
      </w:rPr>
      <w:t xml:space="preserve">Page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3862BF">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29816" w14:textId="77777777" w:rsidR="00FD3642" w:rsidRDefault="00FD3642">
      <w:r>
        <w:separator/>
      </w:r>
    </w:p>
  </w:footnote>
  <w:footnote w:type="continuationSeparator" w:id="0">
    <w:p w14:paraId="739DB5B2" w14:textId="77777777" w:rsidR="00FD3642" w:rsidRDefault="00FD3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D6D9" w14:textId="77777777" w:rsidR="00347A55" w:rsidRDefault="00000000">
    <w:pPr>
      <w:jc w:val="right"/>
    </w:pPr>
    <w:proofErr w:type="spellStart"/>
    <w:r>
      <w:rPr>
        <w:rFonts w:ascii="Calibri" w:eastAsia="Calibri" w:hAnsi="Calibri" w:cs="Calibri"/>
        <w:color w:val="555555"/>
        <w:sz w:val="16"/>
        <w:szCs w:val="16"/>
      </w:rPr>
      <w:t>SauceDemo</w:t>
    </w:r>
    <w:proofErr w:type="spellEnd"/>
    <w:r>
      <w:rPr>
        <w:rFonts w:ascii="Calibri" w:eastAsia="Calibri" w:hAnsi="Calibri" w:cs="Calibri"/>
        <w:color w:val="555555"/>
        <w:sz w:val="16"/>
        <w:szCs w:val="16"/>
      </w:rPr>
      <w:t xml:space="preserve"> QA Automation — Selection Rationale (Updated)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750DB"/>
    <w:multiLevelType w:val="hybridMultilevel"/>
    <w:tmpl w:val="4EC8B4A4"/>
    <w:lvl w:ilvl="0" w:tplc="922C0FDA">
      <w:start w:val="1"/>
      <w:numFmt w:val="bullet"/>
      <w:lvlText w:val="•"/>
      <w:lvlJc w:val="left"/>
      <w:pPr>
        <w:ind w:left="360" w:hanging="260"/>
      </w:pPr>
    </w:lvl>
    <w:lvl w:ilvl="1" w:tplc="7B144AD8">
      <w:numFmt w:val="decimal"/>
      <w:lvlText w:val=""/>
      <w:lvlJc w:val="left"/>
    </w:lvl>
    <w:lvl w:ilvl="2" w:tplc="B7269EB4">
      <w:numFmt w:val="decimal"/>
      <w:lvlText w:val=""/>
      <w:lvlJc w:val="left"/>
    </w:lvl>
    <w:lvl w:ilvl="3" w:tplc="FA64906C">
      <w:numFmt w:val="decimal"/>
      <w:lvlText w:val=""/>
      <w:lvlJc w:val="left"/>
    </w:lvl>
    <w:lvl w:ilvl="4" w:tplc="0A6C3486">
      <w:numFmt w:val="decimal"/>
      <w:lvlText w:val=""/>
      <w:lvlJc w:val="left"/>
    </w:lvl>
    <w:lvl w:ilvl="5" w:tplc="445C0790">
      <w:numFmt w:val="decimal"/>
      <w:lvlText w:val=""/>
      <w:lvlJc w:val="left"/>
    </w:lvl>
    <w:lvl w:ilvl="6" w:tplc="90BCE218">
      <w:numFmt w:val="decimal"/>
      <w:lvlText w:val=""/>
      <w:lvlJc w:val="left"/>
    </w:lvl>
    <w:lvl w:ilvl="7" w:tplc="39F03F3E">
      <w:numFmt w:val="decimal"/>
      <w:lvlText w:val=""/>
      <w:lvlJc w:val="left"/>
    </w:lvl>
    <w:lvl w:ilvl="8" w:tplc="77C8916C">
      <w:numFmt w:val="decimal"/>
      <w:lvlText w:val=""/>
      <w:lvlJc w:val="left"/>
    </w:lvl>
  </w:abstractNum>
  <w:abstractNum w:abstractNumId="1" w15:restartNumberingAfterBreak="0">
    <w:nsid w:val="6C1F2469"/>
    <w:multiLevelType w:val="hybridMultilevel"/>
    <w:tmpl w:val="1AEAF450"/>
    <w:lvl w:ilvl="0" w:tplc="6C4C2F20">
      <w:start w:val="1"/>
      <w:numFmt w:val="bullet"/>
      <w:lvlText w:val="●"/>
      <w:lvlJc w:val="left"/>
      <w:pPr>
        <w:ind w:left="720" w:hanging="360"/>
      </w:pPr>
    </w:lvl>
    <w:lvl w:ilvl="1" w:tplc="24424108">
      <w:start w:val="1"/>
      <w:numFmt w:val="bullet"/>
      <w:lvlText w:val="○"/>
      <w:lvlJc w:val="left"/>
      <w:pPr>
        <w:ind w:left="1440" w:hanging="360"/>
      </w:pPr>
    </w:lvl>
    <w:lvl w:ilvl="2" w:tplc="2EE0D7E8">
      <w:start w:val="1"/>
      <w:numFmt w:val="bullet"/>
      <w:lvlText w:val="■"/>
      <w:lvlJc w:val="left"/>
      <w:pPr>
        <w:ind w:left="2160" w:hanging="360"/>
      </w:pPr>
    </w:lvl>
    <w:lvl w:ilvl="3" w:tplc="76F8663A">
      <w:start w:val="1"/>
      <w:numFmt w:val="bullet"/>
      <w:lvlText w:val="●"/>
      <w:lvlJc w:val="left"/>
      <w:pPr>
        <w:ind w:left="2880" w:hanging="360"/>
      </w:pPr>
    </w:lvl>
    <w:lvl w:ilvl="4" w:tplc="1630A84A">
      <w:start w:val="1"/>
      <w:numFmt w:val="bullet"/>
      <w:lvlText w:val="○"/>
      <w:lvlJc w:val="left"/>
      <w:pPr>
        <w:ind w:left="3600" w:hanging="360"/>
      </w:pPr>
    </w:lvl>
    <w:lvl w:ilvl="5" w:tplc="89260F84">
      <w:start w:val="1"/>
      <w:numFmt w:val="bullet"/>
      <w:lvlText w:val="■"/>
      <w:lvlJc w:val="left"/>
      <w:pPr>
        <w:ind w:left="4320" w:hanging="360"/>
      </w:pPr>
    </w:lvl>
    <w:lvl w:ilvl="6" w:tplc="87FA0B1A">
      <w:start w:val="1"/>
      <w:numFmt w:val="bullet"/>
      <w:lvlText w:val="●"/>
      <w:lvlJc w:val="left"/>
      <w:pPr>
        <w:ind w:left="5040" w:hanging="360"/>
      </w:pPr>
    </w:lvl>
    <w:lvl w:ilvl="7" w:tplc="57A4A34E">
      <w:start w:val="1"/>
      <w:numFmt w:val="bullet"/>
      <w:lvlText w:val="●"/>
      <w:lvlJc w:val="left"/>
      <w:pPr>
        <w:ind w:left="5760" w:hanging="360"/>
      </w:pPr>
    </w:lvl>
    <w:lvl w:ilvl="8" w:tplc="5A7A6326">
      <w:start w:val="1"/>
      <w:numFmt w:val="bullet"/>
      <w:lvlText w:val="●"/>
      <w:lvlJc w:val="left"/>
      <w:pPr>
        <w:ind w:left="6480" w:hanging="360"/>
      </w:pPr>
    </w:lvl>
  </w:abstractNum>
  <w:num w:numId="1" w16cid:durableId="1913462949">
    <w:abstractNumId w:val="1"/>
    <w:lvlOverride w:ilvl="0">
      <w:startOverride w:val="1"/>
    </w:lvlOverride>
  </w:num>
  <w:num w:numId="2" w16cid:durableId="944732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A55"/>
    <w:rsid w:val="00347A55"/>
    <w:rsid w:val="003862BF"/>
    <w:rsid w:val="00782551"/>
    <w:rsid w:val="00FD36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CF483"/>
  <w15:docId w15:val="{EFE8078D-7E2F-43F5-BF4C-48C6FB237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1187</Words>
  <Characters>6766</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Biju</cp:lastModifiedBy>
  <cp:revision>2</cp:revision>
  <dcterms:created xsi:type="dcterms:W3CDTF">2026-07-31T21:47:00Z</dcterms:created>
  <dcterms:modified xsi:type="dcterms:W3CDTF">2026-07-31T22:19:00Z</dcterms:modified>
</cp:coreProperties>
</file>